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ind w:left="0" w:hanging="2"/>
        <w:rPr/>
      </w:pPr>
      <w:r w:rsidDel="00000000" w:rsidR="00000000" w:rsidRPr="00000000">
        <w:rPr>
          <w:rtl w:val="0"/>
        </w:rPr>
      </w:r>
    </w:p>
    <w:p w:rsidR="00000000" w:rsidDel="00000000" w:rsidP="00000000" w:rsidRDefault="00000000" w:rsidRPr="00000000" w14:paraId="00000002">
      <w:pPr>
        <w:spacing w:after="120" w:lineRule="auto"/>
        <w:ind w:left="0" w:hanging="2"/>
        <w:rPr/>
      </w:pPr>
      <w:r w:rsidDel="00000000" w:rsidR="00000000" w:rsidRPr="00000000">
        <w:rPr>
          <w:rtl w:val="0"/>
        </w:rPr>
      </w:r>
    </w:p>
    <w:p w:rsidR="00000000" w:rsidDel="00000000" w:rsidP="00000000" w:rsidRDefault="00000000" w:rsidRPr="00000000" w14:paraId="00000003">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04">
      <w:pPr>
        <w:spacing w:after="120" w:line="240" w:lineRule="auto"/>
        <w:ind w:left="0" w:hanging="2"/>
        <w:jc w:val="right"/>
        <w:rPr>
          <w:sz w:val="24"/>
          <w:szCs w:val="24"/>
        </w:rPr>
      </w:pPr>
      <w:bookmarkStart w:colFirst="0" w:colLast="0" w:name="_heading=h.wncyzuno0mwl" w:id="0"/>
      <w:bookmarkEnd w:id="0"/>
      <w:r w:rsidDel="00000000" w:rsidR="00000000" w:rsidRPr="00000000">
        <w:rPr>
          <w:rtl w:val="0"/>
        </w:rPr>
      </w:r>
    </w:p>
    <w:p w:rsidR="00000000" w:rsidDel="00000000" w:rsidP="00000000" w:rsidRDefault="00000000" w:rsidRPr="00000000" w14:paraId="00000005">
      <w:pPr>
        <w:spacing w:after="120" w:line="240" w:lineRule="auto"/>
        <w:ind w:left="1" w:hanging="3"/>
        <w:jc w:val="center"/>
        <w:rPr>
          <w:sz w:val="32"/>
          <w:szCs w:val="32"/>
        </w:rPr>
      </w:pPr>
      <w:r w:rsidDel="00000000" w:rsidR="00000000" w:rsidRPr="00000000">
        <w:rPr>
          <w:b w:val="1"/>
          <w:bCs w:val="1"/>
          <w:sz w:val="32"/>
          <w:szCs w:val="32"/>
          <w:rtl w:val="0"/>
        </w:rPr>
        <w:t xml:space="preserve"> </w:t>
      </w:r>
      <w:r w:rsidDel="00000000" w:rsidR="00000000" w:rsidRPr="00000000">
        <w:rPr>
          <w:rtl w:val="0"/>
        </w:rPr>
      </w:r>
    </w:p>
    <w:p w:rsidR="00000000" w:rsidDel="00000000" w:rsidP="00000000" w:rsidRDefault="00000000" w:rsidRPr="00000000" w14:paraId="00000006">
      <w:pPr>
        <w:spacing w:after="120" w:line="240" w:lineRule="auto"/>
        <w:ind w:left="1" w:hanging="3"/>
        <w:jc w:val="center"/>
        <w:rPr>
          <w:sz w:val="32"/>
          <w:szCs w:val="32"/>
        </w:rPr>
      </w:pPr>
      <w:r w:rsidDel="00000000" w:rsidR="00000000" w:rsidRPr="00000000">
        <w:rPr>
          <w:b w:val="1"/>
          <w:bCs w:val="1"/>
          <w:sz w:val="32"/>
          <w:szCs w:val="32"/>
          <w:rtl w:val="0"/>
        </w:rPr>
        <w:t xml:space="preserve"> </w:t>
      </w:r>
      <w:r w:rsidDel="00000000" w:rsidR="00000000" w:rsidRPr="00000000">
        <w:rPr>
          <w:rtl w:val="0"/>
        </w:rPr>
      </w:r>
    </w:p>
    <w:p w:rsidR="00000000" w:rsidDel="00000000" w:rsidP="00000000" w:rsidRDefault="00000000" w:rsidRPr="00000000" w14:paraId="00000007">
      <w:pPr>
        <w:spacing w:after="120" w:line="240" w:lineRule="auto"/>
        <w:ind w:left="1" w:hanging="3"/>
        <w:jc w:val="center"/>
        <w:rPr>
          <w:sz w:val="32"/>
          <w:szCs w:val="32"/>
        </w:rPr>
      </w:pPr>
      <w:r w:rsidDel="00000000" w:rsidR="00000000" w:rsidRPr="00000000">
        <w:rPr>
          <w:b w:val="1"/>
          <w:bCs w:val="1"/>
          <w:sz w:val="32"/>
          <w:szCs w:val="32"/>
          <w:rtl w:val="0"/>
        </w:rPr>
        <w:t xml:space="preserve">Objet :</w:t>
      </w:r>
      <w:r w:rsidDel="00000000" w:rsidR="00000000" w:rsidRPr="00000000">
        <w:rPr>
          <w:rtl w:val="0"/>
        </w:rPr>
      </w:r>
    </w:p>
    <w:p w:rsidR="00000000" w:rsidDel="00000000" w:rsidP="00000000" w:rsidRDefault="00000000" w:rsidRPr="00000000" w14:paraId="00000008">
      <w:pPr>
        <w:spacing w:after="120" w:line="240" w:lineRule="auto"/>
        <w:ind w:left="1" w:hanging="3"/>
        <w:jc w:val="center"/>
        <w:rPr>
          <w:sz w:val="32"/>
          <w:szCs w:val="32"/>
        </w:rPr>
      </w:pPr>
      <w:r w:rsidDel="00000000" w:rsidR="00000000" w:rsidRPr="00000000">
        <w:rPr>
          <w:b w:val="1"/>
          <w:bCs w:val="1"/>
          <w:sz w:val="32"/>
          <w:szCs w:val="32"/>
          <w:rtl w:val="0"/>
        </w:rPr>
        <w:t xml:space="preserve">Avis d’appel à la concurrence pour un marché de prestations d’assistance technique du projet Ec@eauvie</w:t>
      </w:r>
      <w:r w:rsidDel="00000000" w:rsidR="00000000" w:rsidRPr="00000000">
        <w:rPr>
          <w:rtl w:val="0"/>
        </w:rPr>
      </w:r>
    </w:p>
    <w:p w:rsidR="00000000" w:rsidDel="00000000" w:rsidP="00000000" w:rsidRDefault="00000000" w:rsidRPr="00000000" w14:paraId="00000009">
      <w:pPr>
        <w:spacing w:after="120" w:line="240" w:lineRule="auto"/>
        <w:ind w:left="1" w:hanging="3"/>
        <w:jc w:val="center"/>
        <w:rPr>
          <w:sz w:val="32"/>
          <w:szCs w:val="32"/>
        </w:rPr>
      </w:pPr>
      <w:r w:rsidDel="00000000" w:rsidR="00000000" w:rsidRPr="00000000">
        <w:rPr>
          <w:rtl w:val="0"/>
        </w:rPr>
      </w:r>
    </w:p>
    <w:p w:rsidR="00000000" w:rsidDel="00000000" w:rsidP="00000000" w:rsidRDefault="00000000" w:rsidRPr="00000000" w14:paraId="0000000A">
      <w:pPr>
        <w:spacing w:after="120" w:line="240" w:lineRule="auto"/>
        <w:ind w:left="1" w:hanging="3"/>
        <w:jc w:val="center"/>
        <w:rPr>
          <w:sz w:val="32"/>
          <w:szCs w:val="32"/>
        </w:rPr>
      </w:pPr>
      <w:r w:rsidDel="00000000" w:rsidR="00000000" w:rsidRPr="00000000">
        <w:rPr>
          <w:rtl w:val="0"/>
        </w:rPr>
      </w:r>
    </w:p>
    <w:p w:rsidR="00000000" w:rsidDel="00000000" w:rsidP="00000000" w:rsidRDefault="00000000" w:rsidRPr="00000000" w14:paraId="0000000B">
      <w:pPr>
        <w:spacing w:after="120" w:line="240" w:lineRule="auto"/>
        <w:ind w:left="1" w:hanging="3"/>
        <w:jc w:val="center"/>
        <w:rPr>
          <w:sz w:val="32"/>
          <w:szCs w:val="32"/>
        </w:rPr>
      </w:pPr>
      <w:r w:rsidDel="00000000" w:rsidR="00000000" w:rsidRPr="00000000">
        <w:rPr>
          <w:b w:val="1"/>
          <w:bCs w:val="1"/>
          <w:sz w:val="32"/>
          <w:szCs w:val="32"/>
          <w:rtl w:val="0"/>
        </w:rPr>
        <w:t xml:space="preserve">Référence :</w:t>
      </w:r>
      <w:r w:rsidDel="00000000" w:rsidR="00000000" w:rsidRPr="00000000">
        <w:rPr>
          <w:rtl w:val="0"/>
        </w:rPr>
      </w:r>
    </w:p>
    <w:p w:rsidR="00000000" w:rsidDel="00000000" w:rsidP="00000000" w:rsidRDefault="00000000" w:rsidRPr="00000000" w14:paraId="0000000C">
      <w:pPr>
        <w:spacing w:after="120" w:line="240" w:lineRule="auto"/>
        <w:ind w:left="1" w:hanging="3"/>
        <w:jc w:val="center"/>
        <w:rPr>
          <w:sz w:val="32"/>
          <w:szCs w:val="32"/>
        </w:rPr>
      </w:pPr>
      <w:r w:rsidDel="00000000" w:rsidR="00000000" w:rsidRPr="00000000">
        <w:rPr>
          <w:rtl w:val="0"/>
        </w:rPr>
      </w:r>
    </w:p>
    <w:p w:rsidR="00000000" w:rsidDel="00000000" w:rsidP="00000000" w:rsidRDefault="00000000" w:rsidRPr="00000000" w14:paraId="0000000D">
      <w:pPr>
        <w:spacing w:after="120" w:line="240" w:lineRule="auto"/>
        <w:ind w:left="1" w:hanging="3"/>
        <w:jc w:val="center"/>
        <w:rPr>
          <w:sz w:val="32"/>
          <w:szCs w:val="32"/>
        </w:rPr>
      </w:pPr>
      <w:r w:rsidDel="00000000" w:rsidR="00000000" w:rsidRPr="00000000">
        <w:rPr>
          <w:b w:val="1"/>
          <w:bCs w:val="1"/>
          <w:sz w:val="32"/>
          <w:szCs w:val="32"/>
          <w:rtl w:val="0"/>
        </w:rPr>
        <w:t xml:space="preserve">« Assistance technique pour la coopérative CDE Petra Patrimonia dans le cadre du projet Ec@eauvie - Programme INTERREG Italie-France Maritime 2021-2027- pour la mise en œuvre des activités prévues dans le cadre des Work Packages du projet</w:t>
      </w:r>
      <w:r w:rsidDel="00000000" w:rsidR="00000000" w:rsidRPr="00000000">
        <w:rPr>
          <w:rtl w:val="0"/>
        </w:rPr>
      </w:r>
    </w:p>
    <w:p w:rsidR="00000000" w:rsidDel="00000000" w:rsidP="00000000" w:rsidRDefault="00000000" w:rsidRPr="00000000" w14:paraId="0000000E">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0F">
      <w:pPr>
        <w:spacing w:after="120" w:lineRule="auto"/>
        <w:ind w:left="2" w:hanging="4"/>
        <w:jc w:val="center"/>
        <w:rPr>
          <w:sz w:val="36"/>
          <w:szCs w:val="36"/>
        </w:rPr>
      </w:pPr>
      <w:r w:rsidDel="00000000" w:rsidR="00000000" w:rsidRPr="00000000">
        <w:rPr>
          <w:b w:val="1"/>
          <w:bCs w:val="1"/>
          <w:sz w:val="36"/>
          <w:szCs w:val="36"/>
          <w:rtl w:val="0"/>
        </w:rPr>
        <w:t xml:space="preserve">Date limite de remise des offres</w:t>
      </w:r>
      <w:r w:rsidDel="00000000" w:rsidR="00000000" w:rsidRPr="00000000">
        <w:rPr>
          <w:rtl w:val="0"/>
        </w:rPr>
      </w:r>
    </w:p>
    <w:p w:rsidR="00000000" w:rsidDel="00000000" w:rsidP="00000000" w:rsidRDefault="00000000" w:rsidRPr="00000000" w14:paraId="00000010">
      <w:pPr>
        <w:spacing w:after="120" w:line="240" w:lineRule="auto"/>
        <w:ind w:left="2" w:hanging="4"/>
        <w:jc w:val="center"/>
        <w:rPr>
          <w:sz w:val="36"/>
          <w:szCs w:val="36"/>
        </w:rPr>
      </w:pPr>
      <w:r w:rsidDel="00000000" w:rsidR="00000000" w:rsidRPr="00000000">
        <w:rPr>
          <w:b w:val="1"/>
          <w:bCs w:val="1"/>
          <w:sz w:val="36"/>
          <w:szCs w:val="36"/>
          <w:rtl w:val="0"/>
        </w:rPr>
        <w:t xml:space="preserve">28 / juillet / 2026 à 17 heures</w:t>
      </w:r>
      <w:r w:rsidDel="00000000" w:rsidR="00000000" w:rsidRPr="00000000">
        <w:rPr>
          <w:rtl w:val="0"/>
        </w:rPr>
      </w:r>
    </w:p>
    <w:p w:rsidR="00000000" w:rsidDel="00000000" w:rsidP="00000000" w:rsidRDefault="00000000" w:rsidRPr="00000000" w14:paraId="00000011">
      <w:pPr>
        <w:spacing w:after="120" w:line="240" w:lineRule="auto"/>
        <w:ind w:left="2" w:hanging="4"/>
        <w:rPr>
          <w:sz w:val="36"/>
          <w:szCs w:val="36"/>
        </w:rPr>
      </w:pPr>
      <w:r w:rsidDel="00000000" w:rsidR="00000000" w:rsidRPr="00000000">
        <w:rPr>
          <w:rtl w:val="0"/>
        </w:rPr>
      </w:r>
    </w:p>
    <w:p w:rsidR="00000000" w:rsidDel="00000000" w:rsidP="00000000" w:rsidRDefault="00000000" w:rsidRPr="00000000" w14:paraId="00000012">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13">
      <w:pPr>
        <w:spacing w:after="120" w:line="240" w:lineRule="auto"/>
        <w:ind w:left="1" w:hanging="3"/>
        <w:jc w:val="center"/>
        <w:rPr>
          <w:sz w:val="32"/>
          <w:szCs w:val="32"/>
        </w:rPr>
      </w:pPr>
      <w:r w:rsidDel="00000000" w:rsidR="00000000" w:rsidRPr="00000000">
        <w:rPr>
          <w:b w:val="1"/>
          <w:bCs w:val="1"/>
          <w:sz w:val="32"/>
          <w:szCs w:val="32"/>
          <w:rtl w:val="0"/>
        </w:rPr>
        <w:t xml:space="preserve">Règlement de consultation </w:t>
      </w:r>
      <w:r w:rsidDel="00000000" w:rsidR="00000000" w:rsidRPr="00000000">
        <w:rPr>
          <w:rtl w:val="0"/>
        </w:rPr>
      </w:r>
    </w:p>
    <w:p w:rsidR="00000000" w:rsidDel="00000000" w:rsidP="00000000" w:rsidRDefault="00000000" w:rsidRPr="00000000" w14:paraId="00000014">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after="120" w:line="240" w:lineRule="auto"/>
        <w:ind w:left="1" w:hanging="3"/>
        <w:jc w:val="center"/>
        <w:rPr>
          <w:sz w:val="28"/>
          <w:szCs w:val="28"/>
        </w:rPr>
      </w:pPr>
      <w:r w:rsidDel="00000000" w:rsidR="00000000" w:rsidRPr="00000000">
        <w:rPr>
          <w:b w:val="1"/>
          <w:bCs w:val="1"/>
          <w:i w:val="1"/>
          <w:iCs w:val="1"/>
          <w:sz w:val="28"/>
          <w:szCs w:val="28"/>
          <w:rtl w:val="0"/>
        </w:rPr>
        <w:t xml:space="preserve">Coopérative d’Activités et d’Emploi – CDE Petra Patrimonia</w:t>
      </w: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pacing w:after="120" w:line="240" w:lineRule="auto"/>
        <w:ind w:left="0" w:hanging="2"/>
        <w:jc w:val="center"/>
        <w:rPr/>
      </w:pPr>
      <w:r w:rsidDel="00000000" w:rsidR="00000000" w:rsidRPr="00000000">
        <w:rPr>
          <w:rtl w:val="0"/>
        </w:rPr>
        <w:t xml:space="preserve">Le Générateur</w:t>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spacing w:after="120" w:line="240" w:lineRule="auto"/>
        <w:ind w:left="0" w:hanging="2"/>
        <w:jc w:val="center"/>
        <w:rPr/>
      </w:pPr>
      <w:r w:rsidDel="00000000" w:rsidR="00000000" w:rsidRPr="00000000">
        <w:rPr>
          <w:rtl w:val="0"/>
        </w:rPr>
        <w:t xml:space="preserve">5 rue Picot</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pacing w:after="120" w:line="240" w:lineRule="auto"/>
        <w:ind w:left="0" w:hanging="2"/>
        <w:jc w:val="center"/>
        <w:rPr/>
      </w:pPr>
      <w:r w:rsidDel="00000000" w:rsidR="00000000" w:rsidRPr="00000000">
        <w:rPr>
          <w:rtl w:val="0"/>
        </w:rPr>
        <w:t xml:space="preserve">83 000 Marseille</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pacing w:after="120" w:line="240" w:lineRule="auto"/>
        <w:ind w:left="0" w:hanging="2"/>
        <w:jc w:val="center"/>
        <w:rPr/>
      </w:pPr>
      <w:r w:rsidDel="00000000" w:rsidR="00000000" w:rsidRPr="00000000">
        <w:rPr>
          <w:rtl w:val="0"/>
        </w:rPr>
        <w:t xml:space="preserve">Tél : +33 07 77 75 33 77</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after="120" w:line="240" w:lineRule="auto"/>
        <w:ind w:left="0" w:hanging="2"/>
        <w:jc w:val="center"/>
        <w:rPr/>
      </w:pPr>
      <w:r w:rsidDel="00000000" w:rsidR="00000000" w:rsidRPr="00000000">
        <w:rPr>
          <w:rtl w:val="0"/>
        </w:rPr>
        <w:t xml:space="preserve">Contacts : </w:t>
      </w:r>
      <w:hyperlink r:id="rId7">
        <w:r w:rsidDel="00000000" w:rsidR="00000000" w:rsidRPr="00000000">
          <w:rPr>
            <w:color w:val="0000ff"/>
            <w:u w:val="single"/>
            <w:rtl w:val="0"/>
          </w:rPr>
          <w:t xml:space="preserve">bellia.remi@cde-petrapatrimonia.eu</w:t>
        </w:r>
      </w:hyperlink>
      <w:r w:rsidDel="00000000" w:rsidR="00000000" w:rsidRPr="00000000">
        <w:rPr>
          <w:rtl w:val="0"/>
        </w:rPr>
        <w:t xml:space="preserve"> </w:t>
      </w:r>
      <w:hyperlink r:id="rId8">
        <w:r w:rsidDel="00000000" w:rsidR="00000000" w:rsidRPr="00000000">
          <w:rPr>
            <w:color w:val="0000ff"/>
            <w:u w:val="single"/>
            <w:rtl w:val="0"/>
          </w:rPr>
          <w:t xml:space="preserve">guary.matthieu@cde-petrapatrimonia.eu</w:t>
        </w:r>
      </w:hyperlink>
      <w:r w:rsidDel="00000000" w:rsidR="00000000" w:rsidRPr="00000000">
        <w:rPr>
          <w:rtl w:val="0"/>
        </w:rPr>
        <w:t xml:space="preserve">  </w:t>
      </w:r>
    </w:p>
    <w:p w:rsidR="00000000" w:rsidDel="00000000" w:rsidP="00000000" w:rsidRDefault="00000000" w:rsidRPr="00000000" w14:paraId="0000001B">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1C">
      <w:pPr>
        <w:spacing w:after="120" w:line="240" w:lineRule="auto"/>
        <w:ind w:left="0" w:hanging="2"/>
        <w:rPr>
          <w:sz w:val="24"/>
          <w:szCs w:val="24"/>
        </w:rPr>
      </w:pPr>
      <w:r w:rsidDel="00000000" w:rsidR="00000000" w:rsidRPr="00000000">
        <w:rPr>
          <w:b w:val="1"/>
          <w:bCs w:val="1"/>
          <w:sz w:val="24"/>
          <w:szCs w:val="24"/>
          <w:rtl w:val="0"/>
        </w:rPr>
        <w:t xml:space="preserve">SOMMAIRE</w:t>
      </w:r>
      <w:r w:rsidDel="00000000" w:rsidR="00000000" w:rsidRPr="00000000">
        <w:rPr>
          <w:rtl w:val="0"/>
        </w:rPr>
      </w:r>
    </w:p>
    <w:p w:rsidR="00000000" w:rsidDel="00000000" w:rsidP="00000000" w:rsidRDefault="00000000" w:rsidRPr="00000000" w14:paraId="0000001D">
      <w:pPr>
        <w:spacing w:after="120" w:line="240" w:lineRule="auto"/>
        <w:ind w:left="0" w:hanging="2"/>
        <w:rPr>
          <w:sz w:val="24"/>
          <w:szCs w:val="24"/>
        </w:rPr>
      </w:pPr>
      <w:r w:rsidDel="00000000" w:rsidR="00000000" w:rsidRPr="00000000">
        <w:rPr>
          <w:rtl w:val="0"/>
        </w:rPr>
      </w:r>
    </w:p>
    <w:tbl>
      <w:tblPr>
        <w:tblStyle w:val="Table1"/>
        <w:tblW w:w="9062.0" w:type="dxa"/>
        <w:jc w:val="left"/>
        <w:tblInd w:w="-108.0" w:type="dxa"/>
        <w:tblLayout w:type="fixed"/>
        <w:tblLook w:val="0000"/>
      </w:tblPr>
      <w:tblGrid>
        <w:gridCol w:w="7088"/>
        <w:gridCol w:w="1974"/>
        <w:tblGridChange w:id="0">
          <w:tblGrid>
            <w:gridCol w:w="7088"/>
            <w:gridCol w:w="1974"/>
          </w:tblGrid>
        </w:tblGridChange>
      </w:tblGrid>
      <w:tr>
        <w:trPr>
          <w:cantSplit w:val="0"/>
          <w:tblHeader w:val="0"/>
        </w:trPr>
        <w:tc>
          <w:tcPr/>
          <w:p w:rsidR="00000000" w:rsidDel="00000000" w:rsidP="00000000" w:rsidRDefault="00000000" w:rsidRPr="00000000" w14:paraId="0000001E">
            <w:pPr>
              <w:spacing w:after="120" w:line="360" w:lineRule="auto"/>
              <w:ind w:left="0" w:hanging="2"/>
              <w:rPr>
                <w:sz w:val="24"/>
                <w:szCs w:val="24"/>
              </w:rPr>
            </w:pPr>
            <w:r w:rsidDel="00000000" w:rsidR="00000000" w:rsidRPr="00000000">
              <w:rPr>
                <w:b w:val="1"/>
                <w:bCs w:val="1"/>
                <w:sz w:val="24"/>
                <w:szCs w:val="24"/>
                <w:rtl w:val="0"/>
              </w:rPr>
              <w:t xml:space="preserve">1. Contexte</w:t>
            </w:r>
            <w:r w:rsidDel="00000000" w:rsidR="00000000" w:rsidRPr="00000000">
              <w:rPr>
                <w:rtl w:val="0"/>
              </w:rPr>
            </w:r>
          </w:p>
        </w:tc>
        <w:tc>
          <w:tcPr/>
          <w:p w:rsidR="00000000" w:rsidDel="00000000" w:rsidP="00000000" w:rsidRDefault="00000000" w:rsidRPr="00000000" w14:paraId="0000001F">
            <w:pPr>
              <w:spacing w:after="120" w:line="360" w:lineRule="auto"/>
              <w:ind w:left="0" w:hanging="2"/>
              <w:rPr>
                <w:sz w:val="24"/>
                <w:szCs w:val="24"/>
              </w:rPr>
            </w:pPr>
            <w:r w:rsidDel="00000000" w:rsidR="00000000" w:rsidRPr="00000000">
              <w:rPr>
                <w:b w:val="1"/>
                <w:bCs w:val="1"/>
                <w:sz w:val="24"/>
                <w:szCs w:val="24"/>
                <w:rtl w:val="0"/>
              </w:rPr>
              <w:t xml:space="preserve">p 3 </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120" w:line="360" w:lineRule="auto"/>
              <w:ind w:left="0" w:hanging="2"/>
              <w:rPr>
                <w:sz w:val="24"/>
                <w:szCs w:val="24"/>
              </w:rPr>
            </w:pPr>
            <w:r w:rsidDel="00000000" w:rsidR="00000000" w:rsidRPr="00000000">
              <w:rPr>
                <w:b w:val="1"/>
                <w:bCs w:val="1"/>
                <w:sz w:val="24"/>
                <w:szCs w:val="24"/>
                <w:rtl w:val="0"/>
              </w:rPr>
              <w:t xml:space="preserve">2. Objet de la mission </w:t>
            </w:r>
            <w:r w:rsidDel="00000000" w:rsidR="00000000" w:rsidRPr="00000000">
              <w:rPr>
                <w:rtl w:val="0"/>
              </w:rPr>
            </w:r>
          </w:p>
        </w:tc>
        <w:tc>
          <w:tcPr/>
          <w:p w:rsidR="00000000" w:rsidDel="00000000" w:rsidP="00000000" w:rsidRDefault="00000000" w:rsidRPr="00000000" w14:paraId="00000021">
            <w:pPr>
              <w:spacing w:after="120" w:line="360" w:lineRule="auto"/>
              <w:ind w:left="0" w:hanging="2"/>
              <w:rPr>
                <w:sz w:val="24"/>
                <w:szCs w:val="24"/>
              </w:rPr>
            </w:pPr>
            <w:r w:rsidDel="00000000" w:rsidR="00000000" w:rsidRPr="00000000">
              <w:rPr>
                <w:b w:val="1"/>
                <w:bCs w:val="1"/>
                <w:sz w:val="24"/>
                <w:szCs w:val="24"/>
                <w:rtl w:val="0"/>
              </w:rPr>
              <w:t xml:space="preserve">p 4</w:t>
            </w:r>
            <w:r w:rsidDel="00000000" w:rsidR="00000000" w:rsidRPr="00000000">
              <w:rPr>
                <w:rtl w:val="0"/>
              </w:rPr>
            </w:r>
          </w:p>
        </w:tc>
      </w:tr>
      <w:tr>
        <w:trPr>
          <w:cantSplit w:val="0"/>
          <w:tblHeader w:val="0"/>
        </w:trPr>
        <w:tc>
          <w:tcPr/>
          <w:p w:rsidR="00000000" w:rsidDel="00000000" w:rsidP="00000000" w:rsidRDefault="00000000" w:rsidRPr="00000000" w14:paraId="00000022">
            <w:pPr>
              <w:spacing w:after="120" w:line="360" w:lineRule="auto"/>
              <w:ind w:left="0" w:hanging="2"/>
              <w:rPr>
                <w:sz w:val="24"/>
                <w:szCs w:val="24"/>
              </w:rPr>
            </w:pPr>
            <w:r w:rsidDel="00000000" w:rsidR="00000000" w:rsidRPr="00000000">
              <w:rPr>
                <w:b w:val="1"/>
                <w:bCs w:val="1"/>
                <w:sz w:val="24"/>
                <w:szCs w:val="24"/>
                <w:rtl w:val="0"/>
              </w:rPr>
              <w:t xml:space="preserve">3. Déroulement de la mission</w:t>
            </w:r>
            <w:r w:rsidDel="00000000" w:rsidR="00000000" w:rsidRPr="00000000">
              <w:rPr>
                <w:rtl w:val="0"/>
              </w:rPr>
            </w:r>
          </w:p>
        </w:tc>
        <w:tc>
          <w:tcPr/>
          <w:p w:rsidR="00000000" w:rsidDel="00000000" w:rsidP="00000000" w:rsidRDefault="00000000" w:rsidRPr="00000000" w14:paraId="00000023">
            <w:pPr>
              <w:spacing w:after="120" w:line="360" w:lineRule="auto"/>
              <w:ind w:left="0" w:hanging="2"/>
              <w:rPr>
                <w:sz w:val="24"/>
                <w:szCs w:val="24"/>
              </w:rPr>
            </w:pPr>
            <w:r w:rsidDel="00000000" w:rsidR="00000000" w:rsidRPr="00000000">
              <w:rPr>
                <w:b w:val="1"/>
                <w:bCs w:val="1"/>
                <w:sz w:val="24"/>
                <w:szCs w:val="24"/>
                <w:rtl w:val="0"/>
              </w:rPr>
              <w:t xml:space="preserve">p 5</w:t>
            </w:r>
            <w:r w:rsidDel="00000000" w:rsidR="00000000" w:rsidRPr="00000000">
              <w:rPr>
                <w:rtl w:val="0"/>
              </w:rPr>
            </w:r>
          </w:p>
        </w:tc>
      </w:tr>
      <w:tr>
        <w:trPr>
          <w:cantSplit w:val="0"/>
          <w:tblHeader w:val="0"/>
        </w:trPr>
        <w:tc>
          <w:tcPr/>
          <w:p w:rsidR="00000000" w:rsidDel="00000000" w:rsidP="00000000" w:rsidRDefault="00000000" w:rsidRPr="00000000" w14:paraId="00000024">
            <w:pPr>
              <w:spacing w:after="120" w:line="360" w:lineRule="auto"/>
              <w:ind w:left="0" w:hanging="2"/>
              <w:rPr>
                <w:sz w:val="24"/>
                <w:szCs w:val="24"/>
              </w:rPr>
            </w:pPr>
            <w:r w:rsidDel="00000000" w:rsidR="00000000" w:rsidRPr="00000000">
              <w:rPr>
                <w:b w:val="1"/>
                <w:bCs w:val="1"/>
                <w:sz w:val="24"/>
                <w:szCs w:val="24"/>
                <w:rtl w:val="0"/>
              </w:rPr>
              <w:t xml:space="preserve">4. Compétences attendus</w:t>
            </w:r>
            <w:r w:rsidDel="00000000" w:rsidR="00000000" w:rsidRPr="00000000">
              <w:rPr>
                <w:rtl w:val="0"/>
              </w:rPr>
            </w:r>
          </w:p>
          <w:p w:rsidR="00000000" w:rsidDel="00000000" w:rsidP="00000000" w:rsidRDefault="00000000" w:rsidRPr="00000000" w14:paraId="00000025">
            <w:pPr>
              <w:spacing w:after="120" w:line="360" w:lineRule="auto"/>
              <w:ind w:left="0" w:hanging="2"/>
              <w:rPr>
                <w:sz w:val="24"/>
                <w:szCs w:val="24"/>
              </w:rPr>
            </w:pPr>
            <w:r w:rsidDel="00000000" w:rsidR="00000000" w:rsidRPr="00000000">
              <w:rPr>
                <w:b w:val="1"/>
                <w:bCs w:val="1"/>
                <w:sz w:val="24"/>
                <w:szCs w:val="24"/>
                <w:rtl w:val="0"/>
              </w:rPr>
              <w:t xml:space="preserve">5 Formalisation des propositions des prestations </w:t>
            </w:r>
            <w:r w:rsidDel="00000000" w:rsidR="00000000" w:rsidRPr="00000000">
              <w:rPr>
                <w:rtl w:val="0"/>
              </w:rPr>
            </w:r>
          </w:p>
        </w:tc>
        <w:tc>
          <w:tcPr/>
          <w:p w:rsidR="00000000" w:rsidDel="00000000" w:rsidP="00000000" w:rsidRDefault="00000000" w:rsidRPr="00000000" w14:paraId="00000026">
            <w:pPr>
              <w:spacing w:after="120" w:line="360" w:lineRule="auto"/>
              <w:ind w:left="0" w:hanging="2"/>
              <w:rPr>
                <w:sz w:val="24"/>
                <w:szCs w:val="24"/>
              </w:rPr>
            </w:pPr>
            <w:r w:rsidDel="00000000" w:rsidR="00000000" w:rsidRPr="00000000">
              <w:rPr>
                <w:b w:val="1"/>
                <w:bCs w:val="1"/>
                <w:sz w:val="24"/>
                <w:szCs w:val="24"/>
                <w:rtl w:val="0"/>
              </w:rPr>
              <w:t xml:space="preserve">p 6</w:t>
            </w:r>
            <w:r w:rsidDel="00000000" w:rsidR="00000000" w:rsidRPr="00000000">
              <w:rPr>
                <w:rtl w:val="0"/>
              </w:rPr>
            </w:r>
          </w:p>
          <w:p w:rsidR="00000000" w:rsidDel="00000000" w:rsidP="00000000" w:rsidRDefault="00000000" w:rsidRPr="00000000" w14:paraId="00000027">
            <w:pPr>
              <w:spacing w:after="120" w:line="360" w:lineRule="auto"/>
              <w:ind w:left="0" w:hanging="2"/>
              <w:rPr>
                <w:sz w:val="24"/>
                <w:szCs w:val="24"/>
              </w:rPr>
            </w:pPr>
            <w:r w:rsidDel="00000000" w:rsidR="00000000" w:rsidRPr="00000000">
              <w:rPr>
                <w:b w:val="1"/>
                <w:bCs w:val="1"/>
                <w:sz w:val="24"/>
                <w:szCs w:val="24"/>
                <w:rtl w:val="0"/>
              </w:rPr>
              <w:t xml:space="preserve">p 6</w:t>
            </w:r>
            <w:r w:rsidDel="00000000" w:rsidR="00000000" w:rsidRPr="00000000">
              <w:rPr>
                <w:rtl w:val="0"/>
              </w:rPr>
            </w:r>
          </w:p>
        </w:tc>
      </w:tr>
      <w:tr>
        <w:trPr>
          <w:cantSplit w:val="0"/>
          <w:tblHeader w:val="0"/>
        </w:trPr>
        <w:tc>
          <w:tcPr/>
          <w:p w:rsidR="00000000" w:rsidDel="00000000" w:rsidP="00000000" w:rsidRDefault="00000000" w:rsidRPr="00000000" w14:paraId="00000028">
            <w:pPr>
              <w:spacing w:after="120" w:line="360" w:lineRule="auto"/>
              <w:ind w:left="0" w:hanging="2"/>
              <w:rPr>
                <w:sz w:val="24"/>
                <w:szCs w:val="24"/>
              </w:rPr>
            </w:pPr>
            <w:r w:rsidDel="00000000" w:rsidR="00000000" w:rsidRPr="00000000">
              <w:rPr>
                <w:b w:val="1"/>
                <w:bCs w:val="1"/>
                <w:sz w:val="24"/>
                <w:szCs w:val="24"/>
                <w:rtl w:val="0"/>
              </w:rPr>
              <w:t xml:space="preserve">6. Examen des propositions et notification</w:t>
            </w:r>
            <w:r w:rsidDel="00000000" w:rsidR="00000000" w:rsidRPr="00000000">
              <w:rPr>
                <w:rtl w:val="0"/>
              </w:rPr>
            </w:r>
          </w:p>
        </w:tc>
        <w:tc>
          <w:tcPr/>
          <w:p w:rsidR="00000000" w:rsidDel="00000000" w:rsidP="00000000" w:rsidRDefault="00000000" w:rsidRPr="00000000" w14:paraId="00000029">
            <w:pPr>
              <w:spacing w:after="120" w:line="360" w:lineRule="auto"/>
              <w:ind w:left="0" w:hanging="2"/>
              <w:rPr>
                <w:sz w:val="24"/>
                <w:szCs w:val="24"/>
              </w:rPr>
            </w:pPr>
            <w:r w:rsidDel="00000000" w:rsidR="00000000" w:rsidRPr="00000000">
              <w:rPr>
                <w:b w:val="1"/>
                <w:bCs w:val="1"/>
                <w:sz w:val="24"/>
                <w:szCs w:val="24"/>
                <w:rtl w:val="0"/>
              </w:rPr>
              <w:t xml:space="preserve">p 7</w:t>
            </w:r>
            <w:r w:rsidDel="00000000" w:rsidR="00000000" w:rsidRPr="00000000">
              <w:rPr>
                <w:rtl w:val="0"/>
              </w:rPr>
            </w:r>
          </w:p>
        </w:tc>
      </w:tr>
    </w:tbl>
    <w:p w:rsidR="00000000" w:rsidDel="00000000" w:rsidP="00000000" w:rsidRDefault="00000000" w:rsidRPr="00000000" w14:paraId="0000002A">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2B">
      <w:pPr>
        <w:spacing w:after="120" w:line="240" w:lineRule="auto"/>
        <w:ind w:left="0" w:hanging="2"/>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120" w:line="240" w:lineRule="auto"/>
        <w:ind w:left="0" w:hanging="2"/>
        <w:rPr>
          <w:sz w:val="24"/>
          <w:szCs w:val="24"/>
        </w:rPr>
      </w:pPr>
      <w:r w:rsidDel="00000000" w:rsidR="00000000" w:rsidRPr="00000000">
        <w:rPr>
          <w:rtl w:val="0"/>
        </w:rPr>
      </w:r>
    </w:p>
    <w:p w:rsidR="00000000" w:rsidDel="00000000" w:rsidP="00000000" w:rsidRDefault="00000000" w:rsidRPr="00000000" w14:paraId="0000002D">
      <w:pPr>
        <w:pBdr>
          <w:bottom w:color="000000" w:space="1" w:sz="4" w:val="single"/>
        </w:pBdr>
        <w:spacing w:after="120" w:line="240" w:lineRule="auto"/>
        <w:ind w:left="0" w:hanging="2"/>
        <w:rPr>
          <w:sz w:val="24"/>
          <w:szCs w:val="24"/>
        </w:rPr>
      </w:pPr>
      <w:r w:rsidDel="00000000" w:rsidR="00000000" w:rsidRPr="00000000">
        <w:rPr>
          <w:b w:val="1"/>
          <w:bCs w:val="1"/>
          <w:sz w:val="24"/>
          <w:szCs w:val="24"/>
          <w:rtl w:val="0"/>
        </w:rPr>
        <w:t xml:space="preserve">1. Contexte du projet</w:t>
      </w:r>
      <w:r w:rsidDel="00000000" w:rsidR="00000000" w:rsidRPr="00000000">
        <w:rPr>
          <w:rtl w:val="0"/>
        </w:rPr>
      </w:r>
    </w:p>
    <w:p w:rsidR="00000000" w:rsidDel="00000000" w:rsidP="00000000" w:rsidRDefault="00000000" w:rsidRPr="00000000" w14:paraId="0000002E">
      <w:pPr>
        <w:widowControl w:val="0"/>
        <w:spacing w:after="120" w:lineRule="auto"/>
        <w:ind w:left="0" w:hanging="2"/>
        <w:jc w:val="both"/>
        <w:rPr/>
      </w:pPr>
      <w:r w:rsidDel="00000000" w:rsidR="00000000" w:rsidRPr="00000000">
        <w:rPr>
          <w:rtl w:val="0"/>
        </w:rPr>
        <w:t xml:space="preserve">La Coopérative pour le développement de l’emploi « CDE Petra Patrimonia » est engagée comme partenaire dans le projet « </w:t>
      </w:r>
      <w:r w:rsidDel="00000000" w:rsidR="00000000" w:rsidRPr="00000000">
        <w:rPr>
          <w:b w:val="1"/>
          <w:bCs w:val="1"/>
          <w:rtl w:val="0"/>
        </w:rPr>
        <w:t xml:space="preserve">Ec@eauvie » </w:t>
      </w:r>
      <w:r w:rsidDel="00000000" w:rsidR="00000000" w:rsidRPr="00000000">
        <w:rPr>
          <w:rtl w:val="0"/>
        </w:rPr>
        <w:t xml:space="preserve">financé par le Programme Interreg Maritimo 2021 - 2027</w:t>
      </w:r>
    </w:p>
    <w:p w:rsidR="00000000" w:rsidDel="00000000" w:rsidP="00000000" w:rsidRDefault="00000000" w:rsidRPr="00000000" w14:paraId="0000002F">
      <w:pPr>
        <w:spacing w:after="120" w:lineRule="auto"/>
        <w:ind w:left="0" w:hanging="2"/>
        <w:jc w:val="both"/>
        <w:rPr/>
      </w:pPr>
      <w:r w:rsidDel="00000000" w:rsidR="00000000" w:rsidRPr="00000000">
        <w:rPr>
          <w:rtl w:val="0"/>
        </w:rPr>
        <w:t xml:space="preserve">Le projet Ec@eauvie se fonde sur le constat du besoin de valorisation et préservation du patrimoine fluvial et lacustre. On constate une faible prise de conscience de la part des communautés locales de la valeur du capital environnemental et culturel lié aux zones fluviales/lacustres et de l'importance de le valoriser et en même temps de le préserver, en mettant en œuvre des politiques de développement touristique durable. De plus, il y a un véritable besoin de renforcer le capital social et un capital humain en termes de durabilité. La mise en place de nouvelle approche semble nécessaire afin de développement de nouvelle opportunités de développement socio-économique à travers un processus d'innovation sociale mis en œuvre au niveau transfrontalier lié à la rivière et au lac, à l'identité, au patrimoine socioculturel et à la ressource environnementale, en créant un itinéraire transfrontalier fluvial et lacustre en tant que levier de développement économique.</w:t>
      </w:r>
    </w:p>
    <w:p w:rsidR="00000000" w:rsidDel="00000000" w:rsidP="00000000" w:rsidRDefault="00000000" w:rsidRPr="00000000" w14:paraId="00000030">
      <w:pPr>
        <w:spacing w:after="120" w:lineRule="auto"/>
        <w:ind w:left="0" w:hanging="2"/>
        <w:jc w:val="both"/>
        <w:rPr/>
      </w:pPr>
      <w:r w:rsidDel="00000000" w:rsidR="00000000" w:rsidRPr="00000000">
        <w:rPr>
          <w:rtl w:val="0"/>
        </w:rPr>
        <w:t xml:space="preserve">L'objectif général du projet est de redécouvrir les rivières et les lacs en tant que patrimoine socioculturel et ressource économique, de favoriser l'accessibilité et la création de nouvelle opportunités économiques, en encourageant la participation des acteurs locaux grâce au développement d'un itinéraire transfrontalier des rivières et des lacs, à la construction de réseaux publics-privés et à une stratégie commune pour la mise en valeur touristique des voies navigables.</w:t>
      </w:r>
    </w:p>
    <w:p w:rsidR="00000000" w:rsidDel="00000000" w:rsidP="00000000" w:rsidRDefault="00000000" w:rsidRPr="00000000" w14:paraId="00000031">
      <w:pPr>
        <w:spacing w:after="120" w:lineRule="auto"/>
        <w:ind w:left="0" w:hanging="2"/>
        <w:jc w:val="both"/>
        <w:rPr/>
      </w:pPr>
      <w:r w:rsidDel="00000000" w:rsidR="00000000" w:rsidRPr="00000000">
        <w:rPr>
          <w:rtl w:val="0"/>
        </w:rPr>
        <w:t xml:space="preserve">Le changement attendu d’augmenter le capital socio-économique local, de le structurer, grâce à la mise en œuvre d'un processus d'innovation sociale ascendant et à l'établissement de clusters qui conduiront à la création/au renforcement des communautés riveraines et à l'augmentation des opportunités de développement du tourisme local durable. L'innovation du projet reposera dans l'approche CLLD (Community-Led Local Development) et l'implication active des acteurs locaux au niveau transfrontalier : </w:t>
      </w:r>
    </w:p>
    <w:p w:rsidR="00000000" w:rsidDel="00000000" w:rsidP="00000000" w:rsidRDefault="00000000" w:rsidRPr="00000000" w14:paraId="00000032">
      <w:pPr>
        <w:numPr>
          <w:ilvl w:val="0"/>
          <w:numId w:val="3"/>
        </w:numPr>
        <w:spacing w:after="0" w:lineRule="auto"/>
        <w:ind w:left="0" w:hanging="2"/>
        <w:jc w:val="both"/>
        <w:rPr/>
      </w:pPr>
      <w:r w:rsidDel="00000000" w:rsidR="00000000" w:rsidRPr="00000000">
        <w:rPr>
          <w:rtl w:val="0"/>
        </w:rPr>
        <w:t xml:space="preserve">une approche des territoires en tant que laboratoire social expérimental, </w:t>
      </w:r>
    </w:p>
    <w:p w:rsidR="00000000" w:rsidDel="00000000" w:rsidP="00000000" w:rsidRDefault="00000000" w:rsidRPr="00000000" w14:paraId="00000033">
      <w:pPr>
        <w:numPr>
          <w:ilvl w:val="0"/>
          <w:numId w:val="3"/>
        </w:numPr>
        <w:spacing w:after="0" w:lineRule="auto"/>
        <w:ind w:left="0" w:hanging="2"/>
        <w:jc w:val="both"/>
        <w:rPr/>
      </w:pPr>
      <w:r w:rsidDel="00000000" w:rsidR="00000000" w:rsidRPr="00000000">
        <w:rPr>
          <w:rtl w:val="0"/>
        </w:rPr>
        <w:t xml:space="preserve">la mise en place de clusters d'acteurs locaux créant des opportunités de développement territorial </w:t>
      </w:r>
    </w:p>
    <w:p w:rsidR="00000000" w:rsidDel="00000000" w:rsidP="00000000" w:rsidRDefault="00000000" w:rsidRPr="00000000" w14:paraId="00000034">
      <w:pPr>
        <w:numPr>
          <w:ilvl w:val="0"/>
          <w:numId w:val="3"/>
        </w:numPr>
        <w:spacing w:after="120" w:lineRule="auto"/>
        <w:ind w:left="0" w:hanging="2"/>
        <w:jc w:val="both"/>
        <w:rPr/>
      </w:pPr>
      <w:r w:rsidDel="00000000" w:rsidR="00000000" w:rsidRPr="00000000">
        <w:rPr>
          <w:rtl w:val="0"/>
        </w:rPr>
        <w:t xml:space="preserve">de nouvelles approches de gestion et de valorisation des cours d'eau de manière concertée avec les communautés locales</w:t>
      </w:r>
    </w:p>
    <w:p w:rsidR="00000000" w:rsidDel="00000000" w:rsidP="00000000" w:rsidRDefault="00000000" w:rsidRPr="00000000" w14:paraId="00000035">
      <w:pPr>
        <w:widowControl w:val="0"/>
        <w:spacing w:after="120" w:line="240" w:lineRule="auto"/>
        <w:ind w:left="0" w:hanging="2"/>
        <w:jc w:val="both"/>
        <w:rPr/>
      </w:pPr>
      <w:r w:rsidDel="00000000" w:rsidR="00000000" w:rsidRPr="00000000">
        <w:rPr>
          <w:b w:val="1"/>
          <w:bCs w:val="1"/>
          <w:rtl w:val="0"/>
        </w:rPr>
        <w:t xml:space="preserve">Les partenaires du projet sont</w:t>
      </w:r>
      <w:r w:rsidDel="00000000" w:rsidR="00000000" w:rsidRPr="00000000">
        <w:rPr>
          <w:rtl w:val="0"/>
        </w:rPr>
        <w:t xml:space="preserve"> :</w:t>
      </w:r>
    </w:p>
    <w:p w:rsidR="00000000" w:rsidDel="00000000" w:rsidP="00000000" w:rsidRDefault="00000000" w:rsidRPr="00000000" w14:paraId="00000036">
      <w:pPr>
        <w:widowControl w:val="0"/>
        <w:numPr>
          <w:ilvl w:val="0"/>
          <w:numId w:val="2"/>
        </w:numPr>
        <w:spacing w:after="0" w:line="240" w:lineRule="auto"/>
        <w:ind w:left="0" w:hanging="2"/>
        <w:jc w:val="both"/>
        <w:rPr/>
      </w:pPr>
      <w:r w:rsidDel="00000000" w:rsidR="00000000" w:rsidRPr="00000000">
        <w:rPr>
          <w:rtl w:val="0"/>
        </w:rPr>
        <w:t xml:space="preserve">LAG F.A.R. Maremma Italie (Toscane - Italie) – Chef de file</w:t>
      </w:r>
    </w:p>
    <w:p w:rsidR="00000000" w:rsidDel="00000000" w:rsidP="00000000" w:rsidRDefault="00000000" w:rsidRPr="00000000" w14:paraId="00000037">
      <w:pPr>
        <w:widowControl w:val="0"/>
        <w:numPr>
          <w:ilvl w:val="0"/>
          <w:numId w:val="2"/>
        </w:numPr>
        <w:spacing w:after="0" w:line="240" w:lineRule="auto"/>
        <w:ind w:left="0" w:hanging="2"/>
        <w:jc w:val="both"/>
        <w:rPr/>
      </w:pPr>
      <w:r w:rsidDel="00000000" w:rsidR="00000000" w:rsidRPr="00000000">
        <w:rPr>
          <w:rtl w:val="0"/>
        </w:rPr>
        <w:t xml:space="preserve">FESTAMBIENTE Italie (Toscane – Italie)</w:t>
      </w:r>
    </w:p>
    <w:p w:rsidR="00000000" w:rsidDel="00000000" w:rsidP="00000000" w:rsidRDefault="00000000" w:rsidRPr="00000000" w14:paraId="00000038">
      <w:pPr>
        <w:widowControl w:val="0"/>
        <w:numPr>
          <w:ilvl w:val="0"/>
          <w:numId w:val="2"/>
        </w:numPr>
        <w:spacing w:after="0" w:line="240" w:lineRule="auto"/>
        <w:ind w:left="0" w:hanging="2"/>
        <w:jc w:val="both"/>
        <w:rPr/>
      </w:pPr>
      <w:r w:rsidDel="00000000" w:rsidR="00000000" w:rsidRPr="00000000">
        <w:rPr>
          <w:rtl w:val="0"/>
        </w:rPr>
        <w:t xml:space="preserve">LAG SARCIDANO BARBAGIA DI SEULO (Sardaigne - Italie) </w:t>
      </w:r>
    </w:p>
    <w:p w:rsidR="00000000" w:rsidDel="00000000" w:rsidP="00000000" w:rsidRDefault="00000000" w:rsidRPr="00000000" w14:paraId="00000039">
      <w:pPr>
        <w:widowControl w:val="0"/>
        <w:numPr>
          <w:ilvl w:val="0"/>
          <w:numId w:val="2"/>
        </w:numPr>
        <w:spacing w:after="0" w:line="240" w:lineRule="auto"/>
        <w:ind w:left="0" w:hanging="2"/>
        <w:jc w:val="both"/>
        <w:rPr/>
      </w:pPr>
      <w:r w:rsidDel="00000000" w:rsidR="00000000" w:rsidRPr="00000000">
        <w:rPr>
          <w:rtl w:val="0"/>
        </w:rPr>
        <w:t xml:space="preserve">Parc Naturel Régional de Corse France (Corse - France) </w:t>
      </w:r>
    </w:p>
    <w:p w:rsidR="00000000" w:rsidDel="00000000" w:rsidP="00000000" w:rsidRDefault="00000000" w:rsidRPr="00000000" w14:paraId="0000003A">
      <w:pPr>
        <w:widowControl w:val="0"/>
        <w:numPr>
          <w:ilvl w:val="0"/>
          <w:numId w:val="2"/>
        </w:numPr>
        <w:spacing w:after="120" w:line="240" w:lineRule="auto"/>
        <w:ind w:left="0" w:hanging="2"/>
        <w:jc w:val="both"/>
        <w:rPr/>
      </w:pPr>
      <w:r w:rsidDel="00000000" w:rsidR="00000000" w:rsidRPr="00000000">
        <w:rPr>
          <w:rtl w:val="0"/>
        </w:rPr>
        <w:t xml:space="preserve">Coopérative pour le Développement de l'Emploi Petra Patrimonia (Var – France)</w:t>
      </w:r>
    </w:p>
    <w:p w:rsidR="00000000" w:rsidDel="00000000" w:rsidP="00000000" w:rsidRDefault="00000000" w:rsidRPr="00000000" w14:paraId="0000003B">
      <w:pPr>
        <w:widowControl w:val="0"/>
        <w:spacing w:after="120" w:line="240" w:lineRule="auto"/>
        <w:ind w:left="0" w:hanging="2"/>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pBdr>
          <w:bottom w:color="000000" w:space="1" w:sz="4" w:val="single"/>
        </w:pBdr>
        <w:spacing w:after="120" w:line="240" w:lineRule="auto"/>
        <w:ind w:left="0" w:hanging="2"/>
        <w:rPr>
          <w:sz w:val="24"/>
          <w:szCs w:val="24"/>
        </w:rPr>
      </w:pPr>
      <w:r w:rsidDel="00000000" w:rsidR="00000000" w:rsidRPr="00000000">
        <w:rPr>
          <w:b w:val="1"/>
          <w:bCs w:val="1"/>
          <w:sz w:val="24"/>
          <w:szCs w:val="24"/>
          <w:rtl w:val="0"/>
        </w:rPr>
        <w:t xml:space="preserve">2. Objet de la mission</w:t>
      </w:r>
      <w:r w:rsidDel="00000000" w:rsidR="00000000" w:rsidRPr="00000000">
        <w:rPr>
          <w:rtl w:val="0"/>
        </w:rPr>
      </w:r>
    </w:p>
    <w:p w:rsidR="00000000" w:rsidDel="00000000" w:rsidP="00000000" w:rsidRDefault="00000000" w:rsidRPr="00000000" w14:paraId="0000003D">
      <w:pPr>
        <w:spacing w:after="120" w:line="240" w:lineRule="auto"/>
        <w:ind w:left="0" w:hanging="2"/>
        <w:rPr/>
      </w:pPr>
      <w:r w:rsidDel="00000000" w:rsidR="00000000" w:rsidRPr="00000000">
        <w:rPr>
          <w:rtl w:val="0"/>
        </w:rPr>
        <w:t xml:space="preserve">Le projet Ec@eauvie sera conduit à travers 3 Work Package (WP): </w:t>
      </w:r>
    </w:p>
    <w:p w:rsidR="00000000" w:rsidDel="00000000" w:rsidP="00000000" w:rsidRDefault="00000000" w:rsidRPr="00000000" w14:paraId="0000003E">
      <w:pPr>
        <w:numPr>
          <w:ilvl w:val="0"/>
          <w:numId w:val="9"/>
        </w:numPr>
        <w:spacing w:after="0" w:afterAutospacing="0" w:line="240" w:lineRule="auto"/>
        <w:ind w:left="720" w:hanging="360"/>
        <w:rPr>
          <w:u w:val="none"/>
        </w:rPr>
      </w:pPr>
      <w:r w:rsidDel="00000000" w:rsidR="00000000" w:rsidRPr="00000000">
        <w:rPr>
          <w:rtl w:val="0"/>
        </w:rPr>
        <w:t xml:space="preserve">WP1 - Étude sur les aspects historiques, naturalistes et ethnographiques des rivières et des lacs des 4 territoires</w:t>
      </w:r>
    </w:p>
    <w:p w:rsidR="00000000" w:rsidDel="00000000" w:rsidP="00000000" w:rsidRDefault="00000000" w:rsidRPr="00000000" w14:paraId="0000003F">
      <w:pPr>
        <w:numPr>
          <w:ilvl w:val="0"/>
          <w:numId w:val="9"/>
        </w:numPr>
        <w:spacing w:after="0" w:afterAutospacing="0" w:line="240" w:lineRule="auto"/>
        <w:ind w:left="720" w:hanging="360"/>
        <w:rPr>
          <w:u w:val="none"/>
        </w:rPr>
      </w:pPr>
      <w:r w:rsidDel="00000000" w:rsidR="00000000" w:rsidRPr="00000000">
        <w:rPr>
          <w:rtl w:val="0"/>
        </w:rPr>
        <w:t xml:space="preserve">WP2 - Implication des acteurs locaux dans l'expérimentation et la validation des itinéraires fluviaux transfrontaliers</w:t>
      </w:r>
    </w:p>
    <w:p w:rsidR="00000000" w:rsidDel="00000000" w:rsidP="00000000" w:rsidRDefault="00000000" w:rsidRPr="00000000" w14:paraId="00000040">
      <w:pPr>
        <w:numPr>
          <w:ilvl w:val="0"/>
          <w:numId w:val="9"/>
        </w:numPr>
        <w:spacing w:after="120" w:line="240" w:lineRule="auto"/>
        <w:ind w:left="720" w:hanging="360"/>
        <w:rPr>
          <w:u w:val="none"/>
        </w:rPr>
      </w:pPr>
      <w:r w:rsidDel="00000000" w:rsidR="00000000" w:rsidRPr="00000000">
        <w:rPr>
          <w:rtl w:val="0"/>
        </w:rPr>
        <w:t xml:space="preserve">WP3 - Autonomisation des acteurs économiques locaux et des communautés riveraines et lacustres</w:t>
      </w:r>
    </w:p>
    <w:p w:rsidR="00000000" w:rsidDel="00000000" w:rsidP="00000000" w:rsidRDefault="00000000" w:rsidRPr="00000000" w14:paraId="00000041">
      <w:pPr>
        <w:spacing w:after="120" w:line="240" w:lineRule="auto"/>
        <w:ind w:left="0" w:hanging="2"/>
        <w:jc w:val="both"/>
        <w:rPr/>
      </w:pPr>
      <w:r w:rsidDel="00000000" w:rsidR="00000000" w:rsidRPr="00000000">
        <w:rPr>
          <w:rtl w:val="0"/>
        </w:rPr>
        <w:t xml:space="preserve">Dans le cadre du Work Package 3</w:t>
      </w:r>
      <w:r w:rsidDel="00000000" w:rsidR="00000000" w:rsidRPr="00000000">
        <w:rPr>
          <w:b w:val="1"/>
          <w:bCs w:val="1"/>
          <w:rtl w:val="0"/>
        </w:rPr>
        <w:t xml:space="preserve">, CDE Petra Patrimonia souhaite externaliser un service d’assistance technique </w:t>
      </w:r>
      <w:r w:rsidDel="00000000" w:rsidR="00000000" w:rsidRPr="00000000">
        <w:rPr>
          <w:rtl w:val="0"/>
        </w:rPr>
        <w:t xml:space="preserve">qui fournira</w:t>
      </w:r>
      <w:r w:rsidDel="00000000" w:rsidR="00000000" w:rsidRPr="00000000">
        <w:rPr>
          <w:b w:val="1"/>
          <w:bCs w:val="1"/>
          <w:rtl w:val="0"/>
        </w:rPr>
        <w:t xml:space="preserve"> </w:t>
      </w:r>
      <w:r w:rsidDel="00000000" w:rsidR="00000000" w:rsidRPr="00000000">
        <w:rPr>
          <w:rtl w:val="0"/>
        </w:rPr>
        <w:t xml:space="preserve">un support </w:t>
      </w:r>
      <w:r w:rsidDel="00000000" w:rsidR="00000000" w:rsidRPr="00000000">
        <w:rPr>
          <w:b w:val="1"/>
          <w:bCs w:val="1"/>
          <w:rtl w:val="0"/>
        </w:rPr>
        <w:t xml:space="preserve">efficace pour la mise en œuvre des activités de ce WP décrit ci-dessous dans le territoire du Var.</w:t>
      </w:r>
      <w:r w:rsidDel="00000000" w:rsidR="00000000" w:rsidRPr="00000000">
        <w:rPr>
          <w:rtl w:val="0"/>
        </w:rPr>
      </w:r>
    </w:p>
    <w:p w:rsidR="00000000" w:rsidDel="00000000" w:rsidP="00000000" w:rsidRDefault="00000000" w:rsidRPr="00000000" w14:paraId="00000042">
      <w:pPr>
        <w:widowControl w:val="0"/>
        <w:spacing w:after="120" w:line="240" w:lineRule="auto"/>
        <w:ind w:left="0" w:hanging="2"/>
        <w:jc w:val="both"/>
        <w:rPr/>
      </w:pPr>
      <w:r w:rsidDel="00000000" w:rsidR="00000000" w:rsidRPr="00000000">
        <w:rPr>
          <w:rtl w:val="0"/>
        </w:rPr>
        <w:t xml:space="preserve">Afin d’assurer la bonne gestion de l’argent public, cet avis d’appel à la concurrence est développé en respect des principes à la base de la réglementation régissant les marchés publics (égalité de traitement, non-discrimination, transparence et proportionnalité).  </w:t>
      </w:r>
    </w:p>
    <w:p w:rsidR="00000000" w:rsidDel="00000000" w:rsidP="00000000" w:rsidRDefault="00000000" w:rsidRPr="00000000" w14:paraId="00000043">
      <w:pPr>
        <w:spacing w:after="120" w:line="240" w:lineRule="auto"/>
        <w:ind w:left="0" w:hanging="2"/>
        <w:jc w:val="both"/>
        <w:rPr/>
      </w:pPr>
      <w:r w:rsidDel="00000000" w:rsidR="00000000" w:rsidRPr="00000000">
        <w:rPr>
          <w:rtl w:val="0"/>
        </w:rPr>
        <w:t xml:space="preserve">La durée prévisionnelle du projet est de 36 mois. </w:t>
      </w:r>
    </w:p>
    <w:p w:rsidR="00000000" w:rsidDel="00000000" w:rsidP="00000000" w:rsidRDefault="00000000" w:rsidRPr="00000000" w14:paraId="00000044">
      <w:pPr>
        <w:spacing w:after="120" w:line="240" w:lineRule="auto"/>
        <w:ind w:left="0" w:hanging="2"/>
        <w:jc w:val="both"/>
        <w:rPr>
          <w:b w:val="1"/>
          <w:bCs w:val="1"/>
        </w:rPr>
      </w:pPr>
      <w:r w:rsidDel="00000000" w:rsidR="00000000" w:rsidRPr="00000000">
        <w:rPr>
          <w:rtl w:val="0"/>
        </w:rPr>
        <w:t xml:space="preserve">A titre indicatif, la prestation d’assistance technique est estimée à un maximum de</w:t>
      </w:r>
      <w:r w:rsidDel="00000000" w:rsidR="00000000" w:rsidRPr="00000000">
        <w:rPr>
          <w:b w:val="1"/>
          <w:bCs w:val="1"/>
          <w:rtl w:val="0"/>
        </w:rPr>
        <w:t xml:space="preserve"> 29 000 Euros H.T.</w:t>
      </w:r>
    </w:p>
    <w:p w:rsidR="00000000" w:rsidDel="00000000" w:rsidP="00000000" w:rsidRDefault="00000000" w:rsidRPr="00000000" w14:paraId="00000045">
      <w:pPr>
        <w:pBdr>
          <w:bottom w:color="000000" w:space="1" w:sz="4" w:val="single"/>
        </w:pBdr>
        <w:spacing w:after="120" w:line="240" w:lineRule="auto"/>
        <w:ind w:left="0" w:hanging="2"/>
        <w:rPr/>
      </w:pPr>
      <w:r w:rsidDel="00000000" w:rsidR="00000000" w:rsidRPr="00000000">
        <w:br w:type="page"/>
      </w:r>
      <w:r w:rsidDel="00000000" w:rsidR="00000000" w:rsidRPr="00000000">
        <w:rPr>
          <w:b w:val="1"/>
          <w:bCs w:val="1"/>
          <w:rtl w:val="0"/>
        </w:rPr>
        <w:t xml:space="preserve">3. Déroulement de la mission</w:t>
      </w:r>
      <w:r w:rsidDel="00000000" w:rsidR="00000000" w:rsidRPr="00000000">
        <w:rPr>
          <w:rtl w:val="0"/>
        </w:rPr>
      </w:r>
    </w:p>
    <w:p w:rsidR="00000000" w:rsidDel="00000000" w:rsidP="00000000" w:rsidRDefault="00000000" w:rsidRPr="00000000" w14:paraId="00000046">
      <w:pPr>
        <w:spacing w:after="120" w:line="240" w:lineRule="auto"/>
        <w:ind w:left="0" w:hanging="2"/>
        <w:jc w:val="both"/>
        <w:rPr/>
      </w:pPr>
      <w:r w:rsidDel="00000000" w:rsidR="00000000" w:rsidRPr="00000000">
        <w:rPr>
          <w:b w:val="1"/>
          <w:bCs w:val="1"/>
          <w:rtl w:val="0"/>
        </w:rPr>
        <w:t xml:space="preserve">La mission d’assistance technique prend effet dès notification du marché par CDE Petra Patrimonia. Elle s’achève en principe le 31 janvier 2028, </w:t>
      </w:r>
      <w:r w:rsidDel="00000000" w:rsidR="00000000" w:rsidRPr="00000000">
        <w:rPr>
          <w:rtl w:val="0"/>
        </w:rPr>
        <w:t xml:space="preserve">après remise d’un rapport final d’exécution de la mission. En cas de prolongation des activités souhaitée par le comité de pilotage du projet et accordée par l’Autorité de Gestion du programme, la mission fera l’objet d’une prorogation par avenant. </w:t>
      </w:r>
    </w:p>
    <w:p w:rsidR="00000000" w:rsidDel="00000000" w:rsidP="00000000" w:rsidRDefault="00000000" w:rsidRPr="00000000" w14:paraId="00000047">
      <w:pPr>
        <w:spacing w:after="120" w:line="240" w:lineRule="auto"/>
        <w:ind w:left="0" w:hanging="2"/>
        <w:jc w:val="both"/>
        <w:rPr/>
      </w:pPr>
      <w:r w:rsidDel="00000000" w:rsidR="00000000" w:rsidRPr="00000000">
        <w:rPr>
          <w:rtl w:val="0"/>
        </w:rPr>
        <w:t xml:space="preserve">Le simple prolongement calendaire de la mission ne donnera pas lieu à une modification du montant du contrat.</w:t>
      </w:r>
    </w:p>
    <w:p w:rsidR="00000000" w:rsidDel="00000000" w:rsidP="00000000" w:rsidRDefault="00000000" w:rsidRPr="00000000" w14:paraId="00000048">
      <w:pPr>
        <w:spacing w:after="120" w:line="240" w:lineRule="auto"/>
        <w:ind w:left="0" w:hanging="2"/>
        <w:jc w:val="both"/>
        <w:rPr/>
      </w:pPr>
      <w:r w:rsidDel="00000000" w:rsidR="00000000" w:rsidRPr="00000000">
        <w:rPr>
          <w:rtl w:val="0"/>
        </w:rPr>
        <w:t xml:space="preserve">La mission d’assistance technique sera exercée en coopération étroite avec le coordinateur et les chargées de mission du projet</w:t>
      </w:r>
    </w:p>
    <w:p w:rsidR="00000000" w:rsidDel="00000000" w:rsidP="00000000" w:rsidRDefault="00000000" w:rsidRPr="00000000" w14:paraId="00000049">
      <w:pPr>
        <w:spacing w:after="120" w:line="240" w:lineRule="auto"/>
        <w:ind w:left="0" w:hanging="2"/>
        <w:jc w:val="both"/>
        <w:rPr>
          <w:u w:val="single"/>
        </w:rPr>
      </w:pPr>
      <w:r w:rsidDel="00000000" w:rsidR="00000000" w:rsidRPr="00000000">
        <w:rPr>
          <w:u w:val="single"/>
          <w:rtl w:val="0"/>
        </w:rPr>
        <w:t xml:space="preserve">Equipe référente au sein de CDE Petra Patrimonia:</w:t>
      </w:r>
    </w:p>
    <w:p w:rsidR="00000000" w:rsidDel="00000000" w:rsidP="00000000" w:rsidRDefault="00000000" w:rsidRPr="00000000" w14:paraId="0000004A">
      <w:pPr>
        <w:spacing w:after="120" w:line="240" w:lineRule="auto"/>
        <w:ind w:left="0" w:hanging="2"/>
        <w:jc w:val="both"/>
        <w:rPr/>
      </w:pPr>
      <w:r w:rsidDel="00000000" w:rsidR="00000000" w:rsidRPr="00000000">
        <w:rPr>
          <w:rtl w:val="0"/>
        </w:rPr>
        <w:t xml:space="preserve">Bellia Remi / Matthieu Guary – Mise en œuvre du projet</w:t>
      </w:r>
    </w:p>
    <w:p w:rsidR="00000000" w:rsidDel="00000000" w:rsidP="00000000" w:rsidRDefault="00000000" w:rsidRPr="00000000" w14:paraId="0000004B">
      <w:pPr>
        <w:spacing w:after="120" w:line="240" w:lineRule="auto"/>
        <w:ind w:left="0" w:hanging="2"/>
        <w:jc w:val="both"/>
        <w:rPr>
          <w:u w:val="single"/>
        </w:rPr>
      </w:pPr>
      <w:r w:rsidDel="00000000" w:rsidR="00000000" w:rsidRPr="00000000">
        <w:rPr>
          <w:rtl w:val="0"/>
        </w:rPr>
      </w:r>
    </w:p>
    <w:p w:rsidR="00000000" w:rsidDel="00000000" w:rsidP="00000000" w:rsidRDefault="00000000" w:rsidRPr="00000000" w14:paraId="0000004C">
      <w:pPr>
        <w:spacing w:after="120" w:line="240" w:lineRule="auto"/>
        <w:ind w:left="0" w:hanging="2"/>
        <w:jc w:val="both"/>
        <w:rPr>
          <w:u w:val="single"/>
        </w:rPr>
      </w:pPr>
      <w:r w:rsidDel="00000000" w:rsidR="00000000" w:rsidRPr="00000000">
        <w:rPr>
          <w:u w:val="single"/>
          <w:rtl w:val="0"/>
        </w:rPr>
        <w:t xml:space="preserve">Détail des tâches à réaliser :</w:t>
      </w:r>
    </w:p>
    <w:p w:rsidR="00000000" w:rsidDel="00000000" w:rsidP="00000000" w:rsidRDefault="00000000" w:rsidRPr="00000000" w14:paraId="0000004D">
      <w:pPr>
        <w:numPr>
          <w:ilvl w:val="0"/>
          <w:numId w:val="7"/>
        </w:numPr>
        <w:spacing w:after="120" w:line="240" w:lineRule="auto"/>
        <w:ind w:left="0" w:hanging="2"/>
        <w:jc w:val="both"/>
        <w:rPr/>
      </w:pPr>
      <w:r w:rsidDel="00000000" w:rsidR="00000000" w:rsidRPr="00000000">
        <w:rPr>
          <w:rtl w:val="0"/>
        </w:rPr>
        <w:t xml:space="preserve">La conduite de réunions pour la valorisation conjointe du patrimoine fluvial et lacustre et la validation d’un accord de coopération entre les parties prenantes du projet (déjà identifiée) ainsi que  la participation à au moins 1 événement du territoire des fleuves Verdon et Argens (foires, fête, forum…) pour la mise en réseau et la diffusion des activités et résultats du projet</w:t>
      </w:r>
    </w:p>
    <w:p w:rsidR="00000000" w:rsidDel="00000000" w:rsidP="00000000" w:rsidRDefault="00000000" w:rsidRPr="00000000" w14:paraId="0000004E">
      <w:pPr>
        <w:numPr>
          <w:ilvl w:val="0"/>
          <w:numId w:val="7"/>
        </w:numPr>
        <w:spacing w:after="120" w:line="240" w:lineRule="auto"/>
        <w:ind w:left="0" w:hanging="2"/>
        <w:jc w:val="both"/>
        <w:rPr/>
      </w:pPr>
      <w:r w:rsidDel="00000000" w:rsidR="00000000" w:rsidRPr="00000000">
        <w:rPr>
          <w:rtl w:val="0"/>
        </w:rPr>
        <w:t xml:space="preserve">Le suivi de la mise en place d’un mécanisme de subventionnement en faveur d'organismes publics ou d'associations locales consistant dans l’évaluation des candidatures reçus au futur l’Appel à Manifestation d’Intérêt publié par le chef de file du projet et selon grille d’évaluation</w:t>
      </w:r>
    </w:p>
    <w:p w:rsidR="00000000" w:rsidDel="00000000" w:rsidP="00000000" w:rsidRDefault="00000000" w:rsidRPr="00000000" w14:paraId="0000004F">
      <w:pPr>
        <w:numPr>
          <w:ilvl w:val="0"/>
          <w:numId w:val="7"/>
        </w:numPr>
        <w:spacing w:after="120" w:line="240" w:lineRule="auto"/>
        <w:ind w:left="0" w:hanging="2"/>
        <w:jc w:val="both"/>
        <w:rPr/>
      </w:pPr>
      <w:r w:rsidDel="00000000" w:rsidR="00000000" w:rsidRPr="00000000">
        <w:rPr>
          <w:rtl w:val="0"/>
        </w:rPr>
        <w:t xml:space="preserve">La participation, organisation à des journées de valorisation des espaces fluviaux et lacustres identifiés dans l'espace transfrontalier</w:t>
      </w:r>
    </w:p>
    <w:p w:rsidR="00000000" w:rsidDel="00000000" w:rsidP="00000000" w:rsidRDefault="00000000" w:rsidRPr="00000000" w14:paraId="00000050">
      <w:pPr>
        <w:numPr>
          <w:ilvl w:val="0"/>
          <w:numId w:val="7"/>
        </w:numPr>
        <w:spacing w:after="120" w:line="240" w:lineRule="auto"/>
        <w:ind w:left="0" w:hanging="2"/>
        <w:jc w:val="both"/>
        <w:rPr/>
      </w:pPr>
      <w:r w:rsidDel="00000000" w:rsidR="00000000" w:rsidRPr="00000000">
        <w:rPr>
          <w:rtl w:val="0"/>
        </w:rPr>
        <w:t xml:space="preserve">La production de matériel promotionnel imprimé, ainsi qu’audio-vidéo en lien avec le responsable de la communication du projet (Festambiente) consistant dans la production d’au moins une vidéo sur les journées de valorisation en PACA et une vidéo de promotion de l'itinéraire en PACA</w:t>
      </w:r>
    </w:p>
    <w:p w:rsidR="00000000" w:rsidDel="00000000" w:rsidP="00000000" w:rsidRDefault="00000000" w:rsidRPr="00000000" w14:paraId="00000051">
      <w:pPr>
        <w:numPr>
          <w:ilvl w:val="0"/>
          <w:numId w:val="7"/>
        </w:numPr>
        <w:spacing w:after="120" w:line="240" w:lineRule="auto"/>
        <w:ind w:left="0" w:hanging="2"/>
        <w:jc w:val="both"/>
        <w:rPr/>
      </w:pPr>
      <w:r w:rsidDel="00000000" w:rsidR="00000000" w:rsidRPr="00000000">
        <w:rPr>
          <w:rtl w:val="0"/>
        </w:rPr>
        <w:t xml:space="preserve">L’appuis technique pour la participation aux réunions, ateliers de de networking conduite par le Far Maremma et le Parc Naturel régional de Corse</w:t>
      </w:r>
    </w:p>
    <w:p w:rsidR="00000000" w:rsidDel="00000000" w:rsidP="00000000" w:rsidRDefault="00000000" w:rsidRPr="00000000" w14:paraId="00000052">
      <w:pPr>
        <w:spacing w:after="120" w:line="240" w:lineRule="auto"/>
        <w:ind w:left="0" w:hanging="2"/>
        <w:jc w:val="both"/>
        <w:rPr/>
      </w:pPr>
      <w:r w:rsidDel="00000000" w:rsidR="00000000" w:rsidRPr="00000000">
        <w:rPr>
          <w:rtl w:val="0"/>
        </w:rPr>
        <w:t xml:space="preserve">En complément, il sera également demandé ;</w:t>
      </w:r>
    </w:p>
    <w:p w:rsidR="00000000" w:rsidDel="00000000" w:rsidP="00000000" w:rsidRDefault="00000000" w:rsidRPr="00000000" w14:paraId="00000053">
      <w:pPr>
        <w:numPr>
          <w:ilvl w:val="0"/>
          <w:numId w:val="8"/>
        </w:numPr>
        <w:spacing w:after="120" w:line="240" w:lineRule="auto"/>
        <w:ind w:left="0" w:hanging="2"/>
        <w:jc w:val="both"/>
        <w:rPr/>
      </w:pPr>
      <w:r w:rsidDel="00000000" w:rsidR="00000000" w:rsidRPr="00000000">
        <w:rPr>
          <w:rtl w:val="0"/>
        </w:rPr>
        <w:t xml:space="preserve">L’organisation d’un testing transfrontalier (participation de tous les partenaires du projet et des membres de leur clusters d’acteurs locaux)) des parcours du verdon et de l’Argens au mois de mars/avril 2027 </w:t>
      </w:r>
    </w:p>
    <w:p w:rsidR="00000000" w:rsidDel="00000000" w:rsidP="00000000" w:rsidRDefault="00000000" w:rsidRPr="00000000" w14:paraId="00000054">
      <w:pPr>
        <w:numPr>
          <w:ilvl w:val="0"/>
          <w:numId w:val="8"/>
        </w:numPr>
        <w:spacing w:after="120" w:line="240" w:lineRule="auto"/>
        <w:ind w:left="0" w:hanging="2"/>
        <w:jc w:val="both"/>
        <w:rPr/>
      </w:pPr>
      <w:r w:rsidDel="00000000" w:rsidR="00000000" w:rsidRPr="00000000">
        <w:rPr>
          <w:rtl w:val="0"/>
        </w:rPr>
        <w:t xml:space="preserve">La rédaction et traduction du rapport de la réunion locale et de la réunion transfrontalière et de l'accord de coopération </w:t>
      </w:r>
    </w:p>
    <w:p w:rsidR="00000000" w:rsidDel="00000000" w:rsidP="00000000" w:rsidRDefault="00000000" w:rsidRPr="00000000" w14:paraId="00000055">
      <w:pPr>
        <w:numPr>
          <w:ilvl w:val="0"/>
          <w:numId w:val="8"/>
        </w:numPr>
        <w:spacing w:after="120" w:line="240" w:lineRule="auto"/>
        <w:ind w:left="0" w:hanging="2"/>
        <w:jc w:val="both"/>
        <w:rPr/>
      </w:pPr>
      <w:r w:rsidDel="00000000" w:rsidR="00000000" w:rsidRPr="00000000">
        <w:rPr>
          <w:rtl w:val="0"/>
        </w:rPr>
        <w:t xml:space="preserve">La rédaction, mise en page, traduction et impression de 100 exemplaires de la stratégie commune de valorisation des parcours </w:t>
      </w:r>
    </w:p>
    <w:p w:rsidR="00000000" w:rsidDel="00000000" w:rsidP="00000000" w:rsidRDefault="00000000" w:rsidRPr="00000000" w14:paraId="00000056">
      <w:pPr>
        <w:spacing w:after="120" w:line="240" w:lineRule="auto"/>
        <w:ind w:left="0" w:hanging="2"/>
        <w:jc w:val="both"/>
        <w:rPr/>
      </w:pPr>
      <w:r w:rsidDel="00000000" w:rsidR="00000000" w:rsidRPr="00000000">
        <w:rPr>
          <w:rtl w:val="0"/>
        </w:rPr>
      </w:r>
    </w:p>
    <w:p w:rsidR="00000000" w:rsidDel="00000000" w:rsidP="00000000" w:rsidRDefault="00000000" w:rsidRPr="00000000" w14:paraId="00000057">
      <w:pPr>
        <w:widowControl w:val="0"/>
        <w:tabs>
          <w:tab w:val="left" w:leader="none" w:pos="284"/>
        </w:tabs>
        <w:spacing w:after="120" w:lineRule="auto"/>
        <w:ind w:left="0" w:hanging="2"/>
        <w:jc w:val="both"/>
        <w:rPr/>
      </w:pPr>
      <w:r w:rsidDel="00000000" w:rsidR="00000000" w:rsidRPr="00000000">
        <w:rPr>
          <w:rtl w:val="0"/>
        </w:rPr>
      </w:r>
    </w:p>
    <w:p w:rsidR="00000000" w:rsidDel="00000000" w:rsidP="00000000" w:rsidRDefault="00000000" w:rsidRPr="00000000" w14:paraId="00000058">
      <w:pPr>
        <w:spacing w:after="120" w:line="240" w:lineRule="auto"/>
        <w:ind w:left="0" w:hanging="2"/>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9">
      <w:pPr>
        <w:pBdr>
          <w:bottom w:color="000000" w:space="1" w:sz="4" w:val="single"/>
        </w:pBdr>
        <w:spacing w:after="120" w:line="240" w:lineRule="auto"/>
        <w:ind w:left="0" w:hanging="2"/>
        <w:jc w:val="both"/>
        <w:rPr/>
      </w:pPr>
      <w:bookmarkStart w:colFirst="0" w:colLast="0" w:name="_heading=h.vmt89ea5llka" w:id="1"/>
      <w:bookmarkEnd w:id="1"/>
      <w:r w:rsidDel="00000000" w:rsidR="00000000" w:rsidRPr="00000000">
        <w:rPr>
          <w:b w:val="1"/>
          <w:bCs w:val="1"/>
          <w:rtl w:val="0"/>
        </w:rPr>
        <w:t xml:space="preserve">4  Compétences attendues</w:t>
      </w:r>
      <w:r w:rsidDel="00000000" w:rsidR="00000000" w:rsidRPr="00000000">
        <w:rPr>
          <w:rtl w:val="0"/>
        </w:rPr>
      </w:r>
    </w:p>
    <w:p w:rsidR="00000000" w:rsidDel="00000000" w:rsidP="00000000" w:rsidRDefault="00000000" w:rsidRPr="00000000" w14:paraId="0000005A">
      <w:pPr>
        <w:spacing w:after="120" w:line="259" w:lineRule="auto"/>
        <w:ind w:left="0" w:hanging="2"/>
        <w:jc w:val="both"/>
        <w:rPr/>
      </w:pPr>
      <w:bookmarkStart w:colFirst="0" w:colLast="0" w:name="_heading=h.wwoekbsni4v0" w:id="2"/>
      <w:bookmarkEnd w:id="2"/>
      <w:r w:rsidDel="00000000" w:rsidR="00000000" w:rsidRPr="00000000">
        <w:rPr>
          <w:rtl w:val="0"/>
        </w:rPr>
        <w:t xml:space="preserve">L’assistance technique doit être assurée par une équipe pluridisciplinaire, mobile, disponible pendant toute la durée du projet, et disposant des compétences suivantes :</w:t>
      </w:r>
    </w:p>
    <w:p w:rsidR="00000000" w:rsidDel="00000000" w:rsidP="00000000" w:rsidRDefault="00000000" w:rsidRPr="00000000" w14:paraId="0000005B">
      <w:pPr>
        <w:numPr>
          <w:ilvl w:val="0"/>
          <w:numId w:val="4"/>
        </w:numPr>
        <w:spacing w:after="120" w:line="259" w:lineRule="auto"/>
        <w:ind w:left="0" w:hanging="2"/>
        <w:rPr/>
      </w:pPr>
      <w:r w:rsidDel="00000000" w:rsidR="00000000" w:rsidRPr="00000000">
        <w:rPr>
          <w:rtl w:val="0"/>
        </w:rPr>
        <w:t xml:space="preserve">Expérience significative dans l’assistance technique de conduite de projet européen </w:t>
      </w:r>
    </w:p>
    <w:p w:rsidR="00000000" w:rsidDel="00000000" w:rsidP="00000000" w:rsidRDefault="00000000" w:rsidRPr="00000000" w14:paraId="0000005C">
      <w:pPr>
        <w:numPr>
          <w:ilvl w:val="0"/>
          <w:numId w:val="4"/>
        </w:numPr>
        <w:spacing w:after="120" w:line="259" w:lineRule="auto"/>
        <w:ind w:left="0" w:hanging="2"/>
        <w:rPr/>
      </w:pPr>
      <w:r w:rsidDel="00000000" w:rsidR="00000000" w:rsidRPr="00000000">
        <w:rPr>
          <w:rtl w:val="0"/>
        </w:rPr>
        <w:t xml:space="preserve">Expérience en méthodologie d’animation de groupe d’acteurs locaux </w:t>
      </w:r>
    </w:p>
    <w:p w:rsidR="00000000" w:rsidDel="00000000" w:rsidP="00000000" w:rsidRDefault="00000000" w:rsidRPr="00000000" w14:paraId="0000005D">
      <w:pPr>
        <w:numPr>
          <w:ilvl w:val="0"/>
          <w:numId w:val="4"/>
        </w:numPr>
        <w:spacing w:after="120" w:line="259" w:lineRule="auto"/>
        <w:ind w:left="0" w:hanging="2"/>
        <w:rPr/>
      </w:pPr>
      <w:r w:rsidDel="00000000" w:rsidR="00000000" w:rsidRPr="00000000">
        <w:rPr>
          <w:rtl w:val="0"/>
        </w:rPr>
        <w:t xml:space="preserve">Expérience dans la réalisation d’étude de développement local territorial</w:t>
      </w:r>
    </w:p>
    <w:p w:rsidR="00000000" w:rsidDel="00000000" w:rsidP="00000000" w:rsidRDefault="00000000" w:rsidRPr="00000000" w14:paraId="0000005E">
      <w:pPr>
        <w:numPr>
          <w:ilvl w:val="0"/>
          <w:numId w:val="4"/>
        </w:numPr>
        <w:spacing w:after="120" w:line="259" w:lineRule="auto"/>
        <w:ind w:left="0" w:hanging="2"/>
        <w:rPr/>
      </w:pPr>
      <w:bookmarkStart w:colFirst="0" w:colLast="0" w:name="_heading=h.8pftbh5dxkw" w:id="3"/>
      <w:bookmarkEnd w:id="3"/>
      <w:r w:rsidDel="00000000" w:rsidR="00000000" w:rsidRPr="00000000">
        <w:rPr>
          <w:rtl w:val="0"/>
        </w:rPr>
        <w:t xml:space="preserve">Très bonne connaissance des acteurs locaux dans le département du Var</w:t>
      </w:r>
    </w:p>
    <w:p w:rsidR="00000000" w:rsidDel="00000000" w:rsidP="00000000" w:rsidRDefault="00000000" w:rsidRPr="00000000" w14:paraId="0000005F">
      <w:pPr>
        <w:numPr>
          <w:ilvl w:val="0"/>
          <w:numId w:val="4"/>
        </w:numPr>
        <w:spacing w:after="120" w:line="259" w:lineRule="auto"/>
        <w:ind w:left="0" w:hanging="2"/>
        <w:rPr/>
      </w:pPr>
      <w:bookmarkStart w:colFirst="0" w:colLast="0" w:name="_heading=h.5vm68hxz7ov5" w:id="4"/>
      <w:bookmarkEnd w:id="4"/>
      <w:r w:rsidDel="00000000" w:rsidR="00000000" w:rsidRPr="00000000">
        <w:rPr>
          <w:rtl w:val="0"/>
        </w:rPr>
        <w:t xml:space="preserve">Excellente maîtrise de rédaction de rapports </w:t>
      </w:r>
    </w:p>
    <w:p w:rsidR="00000000" w:rsidDel="00000000" w:rsidP="00000000" w:rsidRDefault="00000000" w:rsidRPr="00000000" w14:paraId="00000060">
      <w:pPr>
        <w:numPr>
          <w:ilvl w:val="0"/>
          <w:numId w:val="4"/>
        </w:numPr>
        <w:spacing w:after="120" w:line="259" w:lineRule="auto"/>
        <w:ind w:left="0" w:hanging="2"/>
        <w:rPr/>
      </w:pPr>
      <w:bookmarkStart w:colFirst="0" w:colLast="0" w:name="_heading=h.dofk4459ymp4" w:id="5"/>
      <w:bookmarkEnd w:id="5"/>
      <w:r w:rsidDel="00000000" w:rsidR="00000000" w:rsidRPr="00000000">
        <w:rPr>
          <w:rtl w:val="0"/>
        </w:rPr>
        <w:t xml:space="preserve">Maîtrise courante du français et connaissance de la langue l’italien appréciée au sein de l’équipe mobilisée.</w:t>
      </w:r>
    </w:p>
    <w:p w:rsidR="00000000" w:rsidDel="00000000" w:rsidP="00000000" w:rsidRDefault="00000000" w:rsidRPr="00000000" w14:paraId="00000061">
      <w:pPr>
        <w:numPr>
          <w:ilvl w:val="0"/>
          <w:numId w:val="4"/>
        </w:numPr>
        <w:spacing w:after="120" w:line="259" w:lineRule="auto"/>
        <w:ind w:left="0" w:hanging="2"/>
        <w:rPr/>
      </w:pPr>
      <w:r w:rsidDel="00000000" w:rsidR="00000000" w:rsidRPr="00000000">
        <w:rPr>
          <w:rtl w:val="0"/>
        </w:rPr>
        <w:t xml:space="preserve">Capacité d’adaptation pour répondre aux changements du projet</w:t>
      </w:r>
    </w:p>
    <w:p w:rsidR="00000000" w:rsidDel="00000000" w:rsidP="00000000" w:rsidRDefault="00000000" w:rsidRPr="00000000" w14:paraId="00000062">
      <w:pPr>
        <w:spacing w:after="120"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63">
      <w:pPr>
        <w:widowControl w:val="0"/>
        <w:pBdr>
          <w:bottom w:color="000000" w:space="1" w:sz="4" w:val="single"/>
        </w:pBdr>
        <w:spacing w:after="120" w:line="240" w:lineRule="auto"/>
        <w:ind w:left="0" w:hanging="2"/>
        <w:jc w:val="both"/>
        <w:rPr>
          <w:color w:val="000000"/>
          <w:sz w:val="24"/>
          <w:szCs w:val="24"/>
        </w:rPr>
      </w:pPr>
      <w:r w:rsidDel="00000000" w:rsidR="00000000" w:rsidRPr="00000000">
        <w:rPr>
          <w:b w:val="1"/>
          <w:bCs w:val="1"/>
          <w:color w:val="000000"/>
          <w:sz w:val="24"/>
          <w:szCs w:val="24"/>
          <w:rtl w:val="0"/>
        </w:rPr>
        <w:t xml:space="preserve">5. Formalisation des propositions des prestataires :</w:t>
      </w:r>
      <w:r w:rsidDel="00000000" w:rsidR="00000000" w:rsidRPr="00000000">
        <w:rPr>
          <w:rtl w:val="0"/>
        </w:rPr>
      </w:r>
    </w:p>
    <w:p w:rsidR="00000000" w:rsidDel="00000000" w:rsidP="00000000" w:rsidRDefault="00000000" w:rsidRPr="00000000" w14:paraId="00000064">
      <w:pPr>
        <w:widowControl w:val="0"/>
        <w:spacing w:after="120" w:line="240" w:lineRule="auto"/>
        <w:ind w:left="0" w:hanging="2"/>
        <w:jc w:val="both"/>
        <w:rPr>
          <w:color w:val="000000"/>
          <w:sz w:val="24"/>
          <w:szCs w:val="24"/>
        </w:rPr>
      </w:pPr>
      <w:r w:rsidDel="00000000" w:rsidR="00000000" w:rsidRPr="00000000">
        <w:rPr>
          <w:rtl w:val="0"/>
        </w:rPr>
      </w:r>
    </w:p>
    <w:p w:rsidR="00000000" w:rsidDel="00000000" w:rsidP="00000000" w:rsidRDefault="00000000" w:rsidRPr="00000000" w14:paraId="00000065">
      <w:pPr>
        <w:widowControl w:val="0"/>
        <w:spacing w:after="120" w:line="240" w:lineRule="auto"/>
        <w:ind w:left="0" w:hanging="2"/>
        <w:jc w:val="both"/>
        <w:rPr>
          <w:color w:val="000000"/>
        </w:rPr>
      </w:pPr>
      <w:r w:rsidDel="00000000" w:rsidR="00000000" w:rsidRPr="00000000">
        <w:rPr>
          <w:b w:val="1"/>
          <w:bCs w:val="1"/>
          <w:color w:val="000000"/>
          <w:rtl w:val="0"/>
        </w:rPr>
        <w:t xml:space="preserve">Les prestataires souhaitant faire acte de candidature pour le présent marché d’assistance technique doivent présenter leur offre par</w:t>
      </w:r>
      <w:r w:rsidDel="00000000" w:rsidR="00000000" w:rsidRPr="00000000">
        <w:rPr>
          <w:color w:val="000000"/>
          <w:rtl w:val="0"/>
        </w:rPr>
        <w:t xml:space="preserve"> </w:t>
      </w:r>
      <w:r w:rsidDel="00000000" w:rsidR="00000000" w:rsidRPr="00000000">
        <w:rPr>
          <w:b w:val="1"/>
          <w:bCs w:val="1"/>
          <w:color w:val="000000"/>
          <w:rtl w:val="0"/>
        </w:rPr>
        <w:t xml:space="preserve">courrier électronique avec accusé de réception</w:t>
      </w:r>
      <w:r w:rsidDel="00000000" w:rsidR="00000000" w:rsidRPr="00000000">
        <w:rPr>
          <w:color w:val="000000"/>
          <w:rtl w:val="0"/>
        </w:rPr>
        <w:t xml:space="preserve">. Les propositions devront comprendre l’ensemble des pièces suivantes :</w:t>
      </w:r>
    </w:p>
    <w:p w:rsidR="00000000" w:rsidDel="00000000" w:rsidP="00000000" w:rsidRDefault="00000000" w:rsidRPr="00000000" w14:paraId="00000066">
      <w:pPr>
        <w:widowControl w:val="0"/>
        <w:numPr>
          <w:ilvl w:val="0"/>
          <w:numId w:val="1"/>
        </w:numPr>
        <w:pBdr>
          <w:top w:space="0" w:sz="0" w:val="nil"/>
          <w:left w:space="0" w:sz="0" w:val="nil"/>
          <w:bottom w:space="0" w:sz="0" w:val="nil"/>
          <w:right w:space="0" w:sz="0" w:val="nil"/>
          <w:between w:space="0" w:sz="0" w:val="nil"/>
        </w:pBdr>
        <w:spacing w:after="0" w:line="240" w:lineRule="auto"/>
        <w:ind w:left="0" w:hanging="2"/>
        <w:jc w:val="both"/>
        <w:rPr/>
      </w:pPr>
      <w:r w:rsidDel="00000000" w:rsidR="00000000" w:rsidRPr="00000000">
        <w:rPr>
          <w:rtl w:val="0"/>
        </w:rPr>
        <w:t xml:space="preserve">Un mémoire technique détaillé qui expose les méthodes et l’organisation chronologique et matérielle préconisées pour répondre à la réalisation des tâches décrites au § 3.</w:t>
      </w:r>
    </w:p>
    <w:p w:rsidR="00000000" w:rsidDel="00000000" w:rsidP="00000000" w:rsidRDefault="00000000" w:rsidRPr="00000000" w14:paraId="00000067">
      <w:pPr>
        <w:widowControl w:val="0"/>
        <w:numPr>
          <w:ilvl w:val="0"/>
          <w:numId w:val="1"/>
        </w:numPr>
        <w:pBdr>
          <w:top w:space="0" w:sz="0" w:val="nil"/>
          <w:left w:space="0" w:sz="0" w:val="nil"/>
          <w:bottom w:space="0" w:sz="0" w:val="nil"/>
          <w:right w:space="0" w:sz="0" w:val="nil"/>
          <w:between w:space="0" w:sz="0" w:val="nil"/>
        </w:pBdr>
        <w:spacing w:after="0" w:line="240" w:lineRule="auto"/>
        <w:ind w:left="0" w:hanging="2"/>
        <w:jc w:val="both"/>
        <w:rPr/>
      </w:pPr>
      <w:r w:rsidDel="00000000" w:rsidR="00000000" w:rsidRPr="00000000">
        <w:rPr>
          <w:rtl w:val="0"/>
        </w:rPr>
        <w:t xml:space="preserve">Une description de l’équipe mobilisée, accompagnée des CV des membres de l’équipe.</w:t>
      </w:r>
    </w:p>
    <w:p w:rsidR="00000000" w:rsidDel="00000000" w:rsidP="00000000" w:rsidRDefault="00000000" w:rsidRPr="00000000" w14:paraId="00000068">
      <w:pPr>
        <w:widowControl w:val="0"/>
        <w:numPr>
          <w:ilvl w:val="0"/>
          <w:numId w:val="1"/>
        </w:numPr>
        <w:pBdr>
          <w:top w:space="0" w:sz="0" w:val="nil"/>
          <w:left w:space="0" w:sz="0" w:val="nil"/>
          <w:bottom w:space="0" w:sz="0" w:val="nil"/>
          <w:right w:space="0" w:sz="0" w:val="nil"/>
          <w:between w:space="0" w:sz="0" w:val="nil"/>
        </w:pBdr>
        <w:spacing w:after="0" w:line="240" w:lineRule="auto"/>
        <w:ind w:left="0" w:hanging="2"/>
        <w:jc w:val="both"/>
        <w:rPr/>
      </w:pPr>
      <w:r w:rsidDel="00000000" w:rsidR="00000000" w:rsidRPr="00000000">
        <w:rPr>
          <w:rtl w:val="0"/>
        </w:rPr>
        <w:t xml:space="preserve">Un bilan détaillé de leur expérience sur le sujet de l’Assistance Technique relative aux projets nationaux ou européens, notamment sur les questions du tourisme durable.</w:t>
      </w:r>
    </w:p>
    <w:p w:rsidR="00000000" w:rsidDel="00000000" w:rsidP="00000000" w:rsidRDefault="00000000" w:rsidRPr="00000000" w14:paraId="00000069">
      <w:pPr>
        <w:widowControl w:val="0"/>
        <w:numPr>
          <w:ilvl w:val="0"/>
          <w:numId w:val="1"/>
        </w:numPr>
        <w:pBdr>
          <w:top w:space="0" w:sz="0" w:val="nil"/>
          <w:left w:space="0" w:sz="0" w:val="nil"/>
          <w:bottom w:space="0" w:sz="0" w:val="nil"/>
          <w:right w:space="0" w:sz="0" w:val="nil"/>
          <w:between w:space="0" w:sz="0" w:val="nil"/>
        </w:pBdr>
        <w:spacing w:after="0" w:line="240" w:lineRule="auto"/>
        <w:ind w:left="0" w:hanging="2"/>
        <w:jc w:val="both"/>
        <w:rPr/>
      </w:pPr>
      <w:r w:rsidDel="00000000" w:rsidR="00000000" w:rsidRPr="00000000">
        <w:rPr>
          <w:rtl w:val="0"/>
        </w:rPr>
        <w:t xml:space="preserve">Une offre tarifaire détaillée, en tenant compte notamment du chiffrage des différentes tâches décrites. Aucun format n’est imposé mais les offres devront faire apparaître les coûts de journée de manière claire, pour l’accomplissement de chacune des tâches exposées. L’offre intégrera tous les coûts de déplacement jugés nécessaires au bon exercice de la mission, y compris la participation aux réunions avec CDE Petra Patrimonia.</w:t>
      </w:r>
    </w:p>
    <w:p w:rsidR="00000000" w:rsidDel="00000000" w:rsidP="00000000" w:rsidRDefault="00000000" w:rsidRPr="00000000" w14:paraId="0000006A">
      <w:pPr>
        <w:widowControl w:val="0"/>
        <w:numPr>
          <w:ilvl w:val="0"/>
          <w:numId w:val="1"/>
        </w:numPr>
        <w:pBdr>
          <w:top w:space="0" w:sz="0" w:val="nil"/>
          <w:left w:space="0" w:sz="0" w:val="nil"/>
          <w:bottom w:space="0" w:sz="0" w:val="nil"/>
          <w:right w:space="0" w:sz="0" w:val="nil"/>
          <w:between w:space="0" w:sz="0" w:val="nil"/>
        </w:pBdr>
        <w:spacing w:after="0" w:line="240" w:lineRule="auto"/>
        <w:ind w:left="0" w:hanging="2"/>
        <w:jc w:val="both"/>
        <w:rPr/>
      </w:pPr>
      <w:r w:rsidDel="00000000" w:rsidR="00000000" w:rsidRPr="00000000">
        <w:rPr>
          <w:rtl w:val="0"/>
        </w:rPr>
        <w:t xml:space="preserve">Une attestation d’assurance professionnelle.</w:t>
      </w:r>
    </w:p>
    <w:p w:rsidR="00000000" w:rsidDel="00000000" w:rsidP="00000000" w:rsidRDefault="00000000" w:rsidRPr="00000000" w14:paraId="0000006B">
      <w:pPr>
        <w:widowControl w:val="0"/>
        <w:numPr>
          <w:ilvl w:val="0"/>
          <w:numId w:val="1"/>
        </w:numPr>
        <w:pBdr>
          <w:top w:space="0" w:sz="0" w:val="nil"/>
          <w:left w:space="0" w:sz="0" w:val="nil"/>
          <w:bottom w:space="0" w:sz="0" w:val="nil"/>
          <w:right w:space="0" w:sz="0" w:val="nil"/>
          <w:between w:space="0" w:sz="0" w:val="nil"/>
        </w:pBdr>
        <w:spacing w:after="120" w:line="240" w:lineRule="auto"/>
        <w:ind w:left="0" w:hanging="2"/>
        <w:jc w:val="both"/>
        <w:rPr/>
      </w:pPr>
      <w:r w:rsidDel="00000000" w:rsidR="00000000" w:rsidRPr="00000000">
        <w:rPr>
          <w:rtl w:val="0"/>
        </w:rPr>
        <w:t xml:space="preserve">Un document renseigné de type DC2 permettant d’attester la fiabilité technique, financière et juridique de l’organisation (</w:t>
      </w:r>
      <w:hyperlink r:id="rId9">
        <w:r w:rsidDel="00000000" w:rsidR="00000000" w:rsidRPr="00000000">
          <w:rPr>
            <w:u w:val="single"/>
            <w:rtl w:val="0"/>
          </w:rPr>
          <w:t xml:space="preserve">http://www.economie.gouv.fr/daj/formulaires</w:t>
        </w:r>
      </w:hyperlink>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6C">
      <w:pPr>
        <w:widowControl w:val="0"/>
        <w:spacing w:after="120" w:line="240" w:lineRule="auto"/>
        <w:ind w:left="0" w:hanging="2"/>
        <w:jc w:val="both"/>
        <w:rPr>
          <w:color w:val="000000"/>
        </w:rPr>
      </w:pPr>
      <w:r w:rsidDel="00000000" w:rsidR="00000000" w:rsidRPr="00000000">
        <w:rPr>
          <w:color w:val="000000"/>
          <w:rtl w:val="0"/>
        </w:rPr>
        <w:t xml:space="preserve">Les attestations libres signées par le représentant légal et datées reprenant les informations apportées dans les documents de type DC2 sont acceptées.</w:t>
      </w:r>
    </w:p>
    <w:p w:rsidR="00000000" w:rsidDel="00000000" w:rsidP="00000000" w:rsidRDefault="00000000" w:rsidRPr="00000000" w14:paraId="0000006D">
      <w:pPr>
        <w:widowControl w:val="0"/>
        <w:spacing w:after="120" w:line="240" w:lineRule="auto"/>
        <w:ind w:left="0" w:hanging="2"/>
        <w:jc w:val="both"/>
        <w:rPr>
          <w:color w:val="000000"/>
        </w:rPr>
      </w:pPr>
      <w:r w:rsidDel="00000000" w:rsidR="00000000" w:rsidRPr="00000000">
        <w:rPr>
          <w:rtl w:val="0"/>
        </w:rPr>
        <w:t xml:space="preserve">La pratique de la langue anglaise et italienne sera un plus. </w:t>
      </w:r>
      <w:r w:rsidDel="00000000" w:rsidR="00000000" w:rsidRPr="00000000">
        <w:rPr>
          <w:rtl w:val="0"/>
        </w:rPr>
      </w:r>
    </w:p>
    <w:p w:rsidR="00000000" w:rsidDel="00000000" w:rsidP="00000000" w:rsidRDefault="00000000" w:rsidRPr="00000000" w14:paraId="0000006E">
      <w:pPr>
        <w:widowControl w:val="0"/>
        <w:spacing w:after="120" w:line="240" w:lineRule="auto"/>
        <w:ind w:left="0" w:hanging="2"/>
        <w:jc w:val="both"/>
        <w:rPr>
          <w:color w:val="000000"/>
        </w:rPr>
      </w:pPr>
      <w:r w:rsidDel="00000000" w:rsidR="00000000" w:rsidRPr="00000000">
        <w:rPr>
          <w:rtl w:val="0"/>
        </w:rPr>
      </w:r>
    </w:p>
    <w:p w:rsidR="00000000" w:rsidDel="00000000" w:rsidP="00000000" w:rsidRDefault="00000000" w:rsidRPr="00000000" w14:paraId="0000006F">
      <w:pPr>
        <w:widowControl w:val="0"/>
        <w:spacing w:after="120" w:line="240" w:lineRule="auto"/>
        <w:ind w:left="0" w:hanging="2"/>
        <w:jc w:val="both"/>
        <w:rPr>
          <w:color w:val="000000"/>
        </w:rPr>
      </w:pPr>
      <w:r w:rsidDel="00000000" w:rsidR="00000000" w:rsidRPr="00000000">
        <w:rPr>
          <w:color w:val="000000"/>
          <w:rtl w:val="0"/>
        </w:rPr>
        <w:t xml:space="preserve">Les propositions devront être envoyées </w:t>
      </w:r>
      <w:r w:rsidDel="00000000" w:rsidR="00000000" w:rsidRPr="00000000">
        <w:rPr>
          <w:b w:val="1"/>
          <w:bCs w:val="1"/>
          <w:color w:val="000000"/>
          <w:rtl w:val="0"/>
        </w:rPr>
        <w:t xml:space="preserve">avant le </w:t>
      </w:r>
      <w:r w:rsidDel="00000000" w:rsidR="00000000" w:rsidRPr="00000000">
        <w:rPr>
          <w:b w:val="1"/>
          <w:bCs w:val="1"/>
          <w:rtl w:val="0"/>
        </w:rPr>
        <w:t xml:space="preserve">28</w:t>
      </w:r>
      <w:r w:rsidDel="00000000" w:rsidR="00000000" w:rsidRPr="00000000">
        <w:rPr>
          <w:b w:val="1"/>
          <w:bCs w:val="1"/>
          <w:color w:val="000000"/>
          <w:rtl w:val="0"/>
        </w:rPr>
        <w:t xml:space="preserve">/</w:t>
      </w:r>
      <w:r w:rsidDel="00000000" w:rsidR="00000000" w:rsidRPr="00000000">
        <w:rPr>
          <w:b w:val="1"/>
          <w:bCs w:val="1"/>
          <w:rtl w:val="0"/>
        </w:rPr>
        <w:t xml:space="preserve">07</w:t>
      </w:r>
      <w:r w:rsidDel="00000000" w:rsidR="00000000" w:rsidRPr="00000000">
        <w:rPr>
          <w:b w:val="1"/>
          <w:bCs w:val="1"/>
          <w:color w:val="000000"/>
          <w:rtl w:val="0"/>
        </w:rPr>
        <w:t xml:space="preserve">/2025 à 17h</w:t>
      </w:r>
      <w:r w:rsidDel="00000000" w:rsidR="00000000" w:rsidRPr="00000000">
        <w:rPr>
          <w:color w:val="000000"/>
          <w:rtl w:val="0"/>
        </w:rPr>
        <w:t xml:space="preserve"> :</w:t>
      </w:r>
    </w:p>
    <w:p w:rsidR="00000000" w:rsidDel="00000000" w:rsidP="00000000" w:rsidRDefault="00000000" w:rsidRPr="00000000" w14:paraId="00000070">
      <w:pPr>
        <w:widowControl w:val="0"/>
        <w:spacing w:after="120" w:line="240" w:lineRule="auto"/>
        <w:ind w:left="0" w:hanging="2"/>
        <w:jc w:val="both"/>
        <w:rPr>
          <w:color w:val="000000"/>
        </w:rPr>
      </w:pPr>
      <w:r w:rsidDel="00000000" w:rsidR="00000000" w:rsidRPr="00000000">
        <w:rPr>
          <w:color w:val="000000"/>
          <w:rtl w:val="0"/>
        </w:rPr>
        <w:t xml:space="preserve">Par courrier électronique avec accusé de réception aux adresses mail et en indiquant l’objet de la consultation.</w:t>
      </w:r>
    </w:p>
    <w:p w:rsidR="00000000" w:rsidDel="00000000" w:rsidP="00000000" w:rsidRDefault="00000000" w:rsidRPr="00000000" w14:paraId="00000071">
      <w:pPr>
        <w:widowControl w:val="0"/>
        <w:spacing w:after="120" w:line="240" w:lineRule="auto"/>
        <w:ind w:left="0" w:hanging="2"/>
        <w:jc w:val="both"/>
        <w:rPr>
          <w:color w:val="000000"/>
        </w:rPr>
      </w:pPr>
      <w:r w:rsidDel="00000000" w:rsidR="00000000" w:rsidRPr="00000000">
        <w:rPr>
          <w:rtl w:val="0"/>
        </w:rPr>
      </w:r>
    </w:p>
    <w:p w:rsidR="00000000" w:rsidDel="00000000" w:rsidP="00000000" w:rsidRDefault="00000000" w:rsidRPr="00000000" w14:paraId="00000072">
      <w:pPr>
        <w:widowControl w:val="0"/>
        <w:spacing w:after="120" w:line="240" w:lineRule="auto"/>
        <w:ind w:left="0" w:hanging="2"/>
        <w:jc w:val="both"/>
        <w:rPr>
          <w:color w:val="000000"/>
          <w:sz w:val="24"/>
          <w:szCs w:val="24"/>
        </w:rPr>
      </w:pPr>
      <w:r w:rsidDel="00000000" w:rsidR="00000000" w:rsidRPr="00000000">
        <w:rPr>
          <w:color w:val="000000"/>
          <w:rtl w:val="0"/>
        </w:rPr>
        <w:t xml:space="preserve">Pour toute question relative à la mission, les personnes de contact est Bellia Remi – </w:t>
      </w:r>
      <w:hyperlink r:id="rId10">
        <w:r w:rsidDel="00000000" w:rsidR="00000000" w:rsidRPr="00000000">
          <w:rPr>
            <w:color w:val="0000ff"/>
            <w:u w:val="single"/>
            <w:rtl w:val="0"/>
          </w:rPr>
          <w:t xml:space="preserve">bellia.remi@cde-petrapatrimonia.eu</w:t>
        </w:r>
      </w:hyperlink>
      <w:r w:rsidDel="00000000" w:rsidR="00000000" w:rsidRPr="00000000">
        <w:rPr>
          <w:rtl w:val="0"/>
        </w:rPr>
        <w:t xml:space="preserve"> et Matthieu Guary </w:t>
      </w:r>
      <w:hyperlink r:id="rId11">
        <w:r w:rsidDel="00000000" w:rsidR="00000000" w:rsidRPr="00000000">
          <w:rPr>
            <w:color w:val="0000ff"/>
            <w:u w:val="single"/>
            <w:rtl w:val="0"/>
          </w:rPr>
          <w:t xml:space="preserve">guary.matthieu@cde-petrapatrimonia.eu</w:t>
        </w:r>
      </w:hyperlink>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3">
      <w:pPr>
        <w:widowControl w:val="0"/>
        <w:pBdr>
          <w:bottom w:color="000000" w:space="1" w:sz="4" w:val="single"/>
        </w:pBdr>
        <w:spacing w:after="120" w:line="240" w:lineRule="auto"/>
        <w:ind w:left="0" w:hanging="2"/>
        <w:jc w:val="both"/>
        <w:rPr>
          <w:color w:val="000000"/>
          <w:sz w:val="24"/>
          <w:szCs w:val="24"/>
        </w:rPr>
      </w:pPr>
      <w:r w:rsidDel="00000000" w:rsidR="00000000" w:rsidRPr="00000000">
        <w:rPr>
          <w:b w:val="1"/>
          <w:bCs w:val="1"/>
          <w:color w:val="000000"/>
          <w:sz w:val="24"/>
          <w:szCs w:val="24"/>
          <w:rtl w:val="0"/>
        </w:rPr>
        <w:t xml:space="preserve">6. Examen des offres et notification du marché</w:t>
      </w:r>
      <w:r w:rsidDel="00000000" w:rsidR="00000000" w:rsidRPr="00000000">
        <w:rPr>
          <w:rtl w:val="0"/>
        </w:rPr>
      </w:r>
    </w:p>
    <w:p w:rsidR="00000000" w:rsidDel="00000000" w:rsidP="00000000" w:rsidRDefault="00000000" w:rsidRPr="00000000" w14:paraId="00000074">
      <w:pPr>
        <w:widowControl w:val="0"/>
        <w:spacing w:after="120" w:line="240" w:lineRule="auto"/>
        <w:ind w:left="0" w:hanging="2"/>
        <w:jc w:val="both"/>
        <w:rPr>
          <w:color w:val="000000"/>
          <w:sz w:val="24"/>
          <w:szCs w:val="24"/>
        </w:rPr>
      </w:pPr>
      <w:bookmarkStart w:colFirst="0" w:colLast="0" w:name="_heading=h.l5jxbwiwpwjt" w:id="6"/>
      <w:bookmarkEnd w:id="6"/>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120" w:line="240" w:lineRule="auto"/>
        <w:ind w:left="0" w:hanging="2"/>
        <w:jc w:val="both"/>
        <w:rPr>
          <w:b w:val="1"/>
          <w:bCs w:val="1"/>
          <w:color w:val="000000"/>
        </w:rPr>
      </w:pPr>
      <w:r w:rsidDel="00000000" w:rsidR="00000000" w:rsidRPr="00000000">
        <w:rPr>
          <w:b w:val="1"/>
          <w:bCs w:val="1"/>
          <w:color w:val="000000"/>
          <w:rtl w:val="0"/>
        </w:rPr>
        <w:t xml:space="preserve">5.1 Examen des candidatures </w:t>
      </w:r>
    </w:p>
    <w:p w:rsidR="00000000" w:rsidDel="00000000" w:rsidP="00000000" w:rsidRDefault="00000000" w:rsidRPr="00000000" w14:paraId="00000076">
      <w:pPr>
        <w:spacing w:after="120" w:line="240" w:lineRule="auto"/>
        <w:ind w:left="0" w:hanging="2"/>
        <w:jc w:val="both"/>
        <w:rPr/>
      </w:pPr>
      <w:r w:rsidDel="00000000" w:rsidR="00000000" w:rsidRPr="00000000">
        <w:rPr>
          <w:rtl w:val="0"/>
        </w:rPr>
        <w:t xml:space="preserve">L’examen des candidatures sera effectué sur les pièces mentionnées au §4 du présent marché.</w:t>
      </w:r>
    </w:p>
    <w:p w:rsidR="00000000" w:rsidDel="00000000" w:rsidP="00000000" w:rsidRDefault="00000000" w:rsidRPr="00000000" w14:paraId="00000077">
      <w:pPr>
        <w:spacing w:after="120" w:line="240" w:lineRule="auto"/>
        <w:ind w:left="0" w:hanging="2"/>
        <w:jc w:val="both"/>
        <w:rPr/>
      </w:pPr>
      <w:r w:rsidDel="00000000" w:rsidR="00000000" w:rsidRPr="00000000">
        <w:rPr>
          <w:rtl w:val="0"/>
        </w:rPr>
        <w:t xml:space="preserve">Une candidature pourra être jugée irrecevable si elle n’est pas accompagnée des pièces mentionnées au § 4 du présent document ou si elle ne présente pas des garanties techniques, professionnelles et financières suffisantes.</w:t>
      </w:r>
    </w:p>
    <w:p w:rsidR="00000000" w:rsidDel="00000000" w:rsidP="00000000" w:rsidRDefault="00000000" w:rsidRPr="00000000" w14:paraId="00000078">
      <w:pPr>
        <w:spacing w:after="120" w:line="240" w:lineRule="auto"/>
        <w:ind w:left="0" w:hanging="2"/>
        <w:jc w:val="both"/>
        <w:rPr/>
      </w:pPr>
      <w:bookmarkStart w:colFirst="0" w:colLast="0" w:name="_heading=h.te91mlbup4yu" w:id="7"/>
      <w:bookmarkEnd w:id="7"/>
      <w:r w:rsidDel="00000000" w:rsidR="00000000" w:rsidRPr="00000000">
        <w:rPr>
          <w:rtl w:val="0"/>
        </w:rPr>
      </w:r>
    </w:p>
    <w:p w:rsidR="00000000" w:rsidDel="00000000" w:rsidP="00000000" w:rsidRDefault="00000000" w:rsidRPr="00000000" w14:paraId="00000079">
      <w:pPr>
        <w:widowControl w:val="0"/>
        <w:numPr>
          <w:ilvl w:val="0"/>
          <w:numId w:val="6"/>
        </w:numPr>
        <w:pBdr>
          <w:top w:space="0" w:sz="0" w:val="nil"/>
          <w:left w:space="0" w:sz="0" w:val="nil"/>
          <w:bottom w:space="0" w:sz="0" w:val="nil"/>
          <w:right w:space="0" w:sz="0" w:val="nil"/>
          <w:between w:space="0" w:sz="0" w:val="nil"/>
        </w:pBdr>
        <w:spacing w:after="120" w:line="240" w:lineRule="auto"/>
        <w:ind w:left="0" w:hanging="2"/>
        <w:jc w:val="both"/>
        <w:rPr>
          <w:b w:val="1"/>
          <w:bCs w:val="1"/>
          <w:color w:val="000000"/>
        </w:rPr>
      </w:pPr>
      <w:r w:rsidDel="00000000" w:rsidR="00000000" w:rsidRPr="00000000">
        <w:rPr>
          <w:b w:val="1"/>
          <w:bCs w:val="1"/>
          <w:color w:val="000000"/>
          <w:rtl w:val="0"/>
        </w:rPr>
        <w:t xml:space="preserve">Jugement des offres</w:t>
      </w:r>
    </w:p>
    <w:p w:rsidR="00000000" w:rsidDel="00000000" w:rsidP="00000000" w:rsidRDefault="00000000" w:rsidRPr="00000000" w14:paraId="0000007A">
      <w:pPr>
        <w:spacing w:after="120" w:line="240" w:lineRule="auto"/>
        <w:ind w:left="0" w:hanging="2"/>
        <w:jc w:val="both"/>
        <w:rPr/>
      </w:pPr>
      <w:r w:rsidDel="00000000" w:rsidR="00000000" w:rsidRPr="00000000">
        <w:rPr>
          <w:rtl w:val="0"/>
        </w:rPr>
        <w:t xml:space="preserve">Le jugement des offres sera réalisé par les équipes techniques de CDE Petra Patrimonia. L’offre économiquement la plus avantageuse sera appréciée en fonction des critères suivants, classés par ordre décroissant d’importance :</w:t>
      </w:r>
    </w:p>
    <w:p w:rsidR="00000000" w:rsidDel="00000000" w:rsidP="00000000" w:rsidRDefault="00000000" w:rsidRPr="00000000" w14:paraId="0000007B">
      <w:pPr>
        <w:tabs>
          <w:tab w:val="left" w:leader="none" w:pos="1800"/>
        </w:tabs>
        <w:spacing w:after="120" w:line="240" w:lineRule="auto"/>
        <w:ind w:left="0" w:hanging="2"/>
        <w:rPr/>
      </w:pPr>
      <w:r w:rsidDel="00000000" w:rsidR="00000000" w:rsidRPr="00000000">
        <w:rPr>
          <w:rtl w:val="0"/>
        </w:rPr>
      </w:r>
    </w:p>
    <w:p w:rsidR="00000000" w:rsidDel="00000000" w:rsidP="00000000" w:rsidRDefault="00000000" w:rsidRPr="00000000" w14:paraId="0000007C">
      <w:pPr>
        <w:widowControl w:val="0"/>
        <w:numPr>
          <w:ilvl w:val="0"/>
          <w:numId w:val="5"/>
        </w:numPr>
        <w:tabs>
          <w:tab w:val="left" w:leader="none" w:pos="1800"/>
        </w:tabs>
        <w:spacing w:after="120" w:line="240" w:lineRule="auto"/>
        <w:ind w:left="0" w:hanging="2"/>
        <w:jc w:val="both"/>
        <w:rPr/>
      </w:pPr>
      <w:r w:rsidDel="00000000" w:rsidR="00000000" w:rsidRPr="00000000">
        <w:rPr>
          <w:rtl w:val="0"/>
        </w:rPr>
        <w:t xml:space="preserve">Valeur technique : 90 %</w:t>
      </w:r>
    </w:p>
    <w:p w:rsidR="00000000" w:rsidDel="00000000" w:rsidP="00000000" w:rsidRDefault="00000000" w:rsidRPr="00000000" w14:paraId="0000007D">
      <w:pPr>
        <w:widowControl w:val="0"/>
        <w:numPr>
          <w:ilvl w:val="0"/>
          <w:numId w:val="5"/>
        </w:numPr>
        <w:tabs>
          <w:tab w:val="left" w:leader="none" w:pos="1800"/>
        </w:tabs>
        <w:spacing w:after="120" w:line="240" w:lineRule="auto"/>
        <w:ind w:left="0" w:hanging="2"/>
        <w:jc w:val="both"/>
        <w:rPr/>
      </w:pPr>
      <w:r w:rsidDel="00000000" w:rsidR="00000000" w:rsidRPr="00000000">
        <w:rPr>
          <w:rtl w:val="0"/>
        </w:rPr>
        <w:t xml:space="preserve">Prix : 10 %</w:t>
      </w:r>
    </w:p>
    <w:p w:rsidR="00000000" w:rsidDel="00000000" w:rsidP="00000000" w:rsidRDefault="00000000" w:rsidRPr="00000000" w14:paraId="0000007E">
      <w:pPr>
        <w:tabs>
          <w:tab w:val="center" w:leader="none" w:pos="7602"/>
        </w:tabs>
        <w:spacing w:after="120" w:line="240" w:lineRule="auto"/>
        <w:ind w:left="0" w:hanging="2"/>
        <w:rPr/>
      </w:pPr>
      <w:r w:rsidDel="00000000" w:rsidR="00000000" w:rsidRPr="00000000">
        <w:rPr>
          <w:rtl w:val="0"/>
        </w:rPr>
      </w:r>
    </w:p>
    <w:p w:rsidR="00000000" w:rsidDel="00000000" w:rsidP="00000000" w:rsidRDefault="00000000" w:rsidRPr="00000000" w14:paraId="0000007F">
      <w:pPr>
        <w:tabs>
          <w:tab w:val="center" w:leader="none" w:pos="7602"/>
        </w:tabs>
        <w:spacing w:after="120" w:line="240" w:lineRule="auto"/>
        <w:ind w:left="0" w:hanging="2"/>
        <w:jc w:val="both"/>
        <w:rPr/>
      </w:pPr>
      <w:r w:rsidDel="00000000" w:rsidR="00000000" w:rsidRPr="00000000">
        <w:rPr>
          <w:b w:val="1"/>
          <w:bCs w:val="1"/>
          <w:rtl w:val="0"/>
        </w:rPr>
        <w:t xml:space="preserve">La valeur technique</w:t>
      </w:r>
      <w:r w:rsidDel="00000000" w:rsidR="00000000" w:rsidRPr="00000000">
        <w:rPr>
          <w:rtl w:val="0"/>
        </w:rPr>
        <w:t xml:space="preserve"> sera jugée sur la base des informations indiquées dans le mémoire technique et des références détaillées au §4 du présent document.</w:t>
      </w:r>
    </w:p>
    <w:p w:rsidR="00000000" w:rsidDel="00000000" w:rsidP="00000000" w:rsidRDefault="00000000" w:rsidRPr="00000000" w14:paraId="00000080">
      <w:pPr>
        <w:tabs>
          <w:tab w:val="center" w:leader="none" w:pos="7602"/>
        </w:tabs>
        <w:spacing w:after="120" w:line="240" w:lineRule="auto"/>
        <w:ind w:left="0" w:hanging="2"/>
        <w:rPr/>
      </w:pPr>
      <w:r w:rsidDel="00000000" w:rsidR="00000000" w:rsidRPr="00000000">
        <w:rPr>
          <w:rtl w:val="0"/>
        </w:rPr>
        <w:t xml:space="preserve">Le critère technique NT sera noté, avant pondération, selon l’échelle de notation suivante :</w:t>
      </w:r>
    </w:p>
    <w:tbl>
      <w:tblPr>
        <w:tblStyle w:val="Table2"/>
        <w:tblW w:w="47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2"/>
        <w:gridCol w:w="1676"/>
        <w:tblGridChange w:id="0">
          <w:tblGrid>
            <w:gridCol w:w="3032"/>
            <w:gridCol w:w="1676"/>
          </w:tblGrid>
        </w:tblGridChange>
      </w:tblGrid>
      <w:tr>
        <w:trPr>
          <w:cantSplit w:val="0"/>
          <w:trHeight w:val="284" w:hRule="atLeast"/>
          <w:tblHeader w:val="0"/>
        </w:trPr>
        <w:tc>
          <w:tcPr>
            <w:vAlign w:val="center"/>
          </w:tcPr>
          <w:p w:rsidR="00000000" w:rsidDel="00000000" w:rsidP="00000000" w:rsidRDefault="00000000" w:rsidRPr="00000000" w14:paraId="00000081">
            <w:pPr>
              <w:spacing w:after="120" w:line="240" w:lineRule="auto"/>
              <w:ind w:left="0" w:hanging="2"/>
              <w:jc w:val="center"/>
              <w:rPr/>
            </w:pPr>
            <w:r w:rsidDel="00000000" w:rsidR="00000000" w:rsidRPr="00000000">
              <w:rPr>
                <w:b w:val="1"/>
                <w:bCs w:val="1"/>
                <w:rtl w:val="0"/>
              </w:rPr>
              <w:t xml:space="preserve">Niveau</w:t>
            </w:r>
            <w:r w:rsidDel="00000000" w:rsidR="00000000" w:rsidRPr="00000000">
              <w:rPr>
                <w:rtl w:val="0"/>
              </w:rPr>
            </w:r>
          </w:p>
        </w:tc>
        <w:tc>
          <w:tcPr>
            <w:vAlign w:val="center"/>
          </w:tcPr>
          <w:p w:rsidR="00000000" w:rsidDel="00000000" w:rsidP="00000000" w:rsidRDefault="00000000" w:rsidRPr="00000000" w14:paraId="00000082">
            <w:pPr>
              <w:spacing w:after="120" w:line="240" w:lineRule="auto"/>
              <w:ind w:left="0" w:hanging="2"/>
              <w:jc w:val="center"/>
              <w:rPr/>
            </w:pPr>
            <w:r w:rsidDel="00000000" w:rsidR="00000000" w:rsidRPr="00000000">
              <w:rPr>
                <w:b w:val="1"/>
                <w:bCs w:val="1"/>
                <w:rtl w:val="0"/>
              </w:rPr>
              <w:t xml:space="preserve">Note /20</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83">
            <w:pPr>
              <w:spacing w:after="120" w:line="240" w:lineRule="auto"/>
              <w:ind w:left="0" w:hanging="2"/>
              <w:jc w:val="center"/>
              <w:rPr/>
            </w:pPr>
            <w:r w:rsidDel="00000000" w:rsidR="00000000" w:rsidRPr="00000000">
              <w:rPr>
                <w:rtl w:val="0"/>
              </w:rPr>
              <w:t xml:space="preserve">Excellent</w:t>
            </w:r>
          </w:p>
        </w:tc>
        <w:tc>
          <w:tcPr>
            <w:vAlign w:val="center"/>
          </w:tcPr>
          <w:p w:rsidR="00000000" w:rsidDel="00000000" w:rsidP="00000000" w:rsidRDefault="00000000" w:rsidRPr="00000000" w14:paraId="00000084">
            <w:pPr>
              <w:spacing w:after="120" w:line="240" w:lineRule="auto"/>
              <w:ind w:left="0" w:hanging="2"/>
              <w:jc w:val="center"/>
              <w:rPr/>
            </w:pPr>
            <w:r w:rsidDel="00000000" w:rsidR="00000000" w:rsidRPr="00000000">
              <w:rPr>
                <w:rtl w:val="0"/>
              </w:rPr>
              <w:t xml:space="preserve">16 à 20</w:t>
            </w:r>
          </w:p>
        </w:tc>
      </w:tr>
      <w:tr>
        <w:trPr>
          <w:cantSplit w:val="0"/>
          <w:trHeight w:val="284" w:hRule="atLeast"/>
          <w:tblHeader w:val="0"/>
        </w:trPr>
        <w:tc>
          <w:tcPr>
            <w:vAlign w:val="center"/>
          </w:tcPr>
          <w:p w:rsidR="00000000" w:rsidDel="00000000" w:rsidP="00000000" w:rsidRDefault="00000000" w:rsidRPr="00000000" w14:paraId="00000085">
            <w:pPr>
              <w:spacing w:after="120" w:line="240" w:lineRule="auto"/>
              <w:ind w:left="0" w:hanging="2"/>
              <w:jc w:val="center"/>
              <w:rPr/>
            </w:pPr>
            <w:r w:rsidDel="00000000" w:rsidR="00000000" w:rsidRPr="00000000">
              <w:rPr>
                <w:rtl w:val="0"/>
              </w:rPr>
              <w:t xml:space="preserve">Acceptable / Satisfaisant</w:t>
            </w:r>
          </w:p>
        </w:tc>
        <w:tc>
          <w:tcPr>
            <w:vAlign w:val="center"/>
          </w:tcPr>
          <w:p w:rsidR="00000000" w:rsidDel="00000000" w:rsidP="00000000" w:rsidRDefault="00000000" w:rsidRPr="00000000" w14:paraId="00000086">
            <w:pPr>
              <w:spacing w:after="120" w:line="240" w:lineRule="auto"/>
              <w:ind w:left="0" w:hanging="2"/>
              <w:jc w:val="center"/>
              <w:rPr/>
            </w:pPr>
            <w:r w:rsidDel="00000000" w:rsidR="00000000" w:rsidRPr="00000000">
              <w:rPr>
                <w:rtl w:val="0"/>
              </w:rPr>
              <w:t xml:space="preserve">11 à 15</w:t>
            </w:r>
          </w:p>
        </w:tc>
      </w:tr>
      <w:tr>
        <w:trPr>
          <w:cantSplit w:val="0"/>
          <w:trHeight w:val="284" w:hRule="atLeast"/>
          <w:tblHeader w:val="0"/>
        </w:trPr>
        <w:tc>
          <w:tcPr>
            <w:vAlign w:val="center"/>
          </w:tcPr>
          <w:p w:rsidR="00000000" w:rsidDel="00000000" w:rsidP="00000000" w:rsidRDefault="00000000" w:rsidRPr="00000000" w14:paraId="00000087">
            <w:pPr>
              <w:spacing w:after="120" w:line="240" w:lineRule="auto"/>
              <w:ind w:left="0" w:hanging="2"/>
              <w:jc w:val="center"/>
              <w:rPr/>
            </w:pPr>
            <w:r w:rsidDel="00000000" w:rsidR="00000000" w:rsidRPr="00000000">
              <w:rPr>
                <w:rtl w:val="0"/>
              </w:rPr>
              <w:t xml:space="preserve">Passable / Peu satisfaisant</w:t>
            </w:r>
          </w:p>
        </w:tc>
        <w:tc>
          <w:tcPr>
            <w:vAlign w:val="center"/>
          </w:tcPr>
          <w:p w:rsidR="00000000" w:rsidDel="00000000" w:rsidP="00000000" w:rsidRDefault="00000000" w:rsidRPr="00000000" w14:paraId="00000088">
            <w:pPr>
              <w:spacing w:after="120" w:line="240" w:lineRule="auto"/>
              <w:ind w:left="0" w:hanging="2"/>
              <w:jc w:val="center"/>
              <w:rPr/>
            </w:pPr>
            <w:r w:rsidDel="00000000" w:rsidR="00000000" w:rsidRPr="00000000">
              <w:rPr>
                <w:rtl w:val="0"/>
              </w:rPr>
              <w:t xml:space="preserve">6 à 10</w:t>
            </w:r>
          </w:p>
        </w:tc>
      </w:tr>
      <w:tr>
        <w:trPr>
          <w:cantSplit w:val="0"/>
          <w:trHeight w:val="284" w:hRule="atLeast"/>
          <w:tblHeader w:val="0"/>
        </w:trPr>
        <w:tc>
          <w:tcPr>
            <w:vAlign w:val="center"/>
          </w:tcPr>
          <w:p w:rsidR="00000000" w:rsidDel="00000000" w:rsidP="00000000" w:rsidRDefault="00000000" w:rsidRPr="00000000" w14:paraId="00000089">
            <w:pPr>
              <w:spacing w:after="120" w:line="240" w:lineRule="auto"/>
              <w:ind w:left="0" w:hanging="2"/>
              <w:jc w:val="center"/>
              <w:rPr/>
            </w:pPr>
            <w:r w:rsidDel="00000000" w:rsidR="00000000" w:rsidRPr="00000000">
              <w:rPr>
                <w:rtl w:val="0"/>
              </w:rPr>
              <w:t xml:space="preserve">Insuffisant / Peu renseigné</w:t>
            </w:r>
          </w:p>
        </w:tc>
        <w:tc>
          <w:tcPr>
            <w:vAlign w:val="center"/>
          </w:tcPr>
          <w:p w:rsidR="00000000" w:rsidDel="00000000" w:rsidP="00000000" w:rsidRDefault="00000000" w:rsidRPr="00000000" w14:paraId="0000008A">
            <w:pPr>
              <w:spacing w:after="120" w:line="240" w:lineRule="auto"/>
              <w:ind w:left="0" w:hanging="2"/>
              <w:jc w:val="center"/>
              <w:rPr/>
            </w:pPr>
            <w:r w:rsidDel="00000000" w:rsidR="00000000" w:rsidRPr="00000000">
              <w:rPr>
                <w:rtl w:val="0"/>
              </w:rPr>
              <w:t xml:space="preserve">1 à 5</w:t>
            </w:r>
          </w:p>
        </w:tc>
      </w:tr>
      <w:tr>
        <w:trPr>
          <w:cantSplit w:val="0"/>
          <w:trHeight w:val="284" w:hRule="atLeast"/>
          <w:tblHeader w:val="0"/>
        </w:trPr>
        <w:tc>
          <w:tcPr>
            <w:vAlign w:val="center"/>
          </w:tcPr>
          <w:p w:rsidR="00000000" w:rsidDel="00000000" w:rsidP="00000000" w:rsidRDefault="00000000" w:rsidRPr="00000000" w14:paraId="0000008B">
            <w:pPr>
              <w:spacing w:after="120" w:line="240" w:lineRule="auto"/>
              <w:ind w:left="0" w:hanging="2"/>
              <w:jc w:val="center"/>
              <w:rPr/>
            </w:pPr>
            <w:r w:rsidDel="00000000" w:rsidR="00000000" w:rsidRPr="00000000">
              <w:rPr>
                <w:rtl w:val="0"/>
              </w:rPr>
              <w:t xml:space="preserve">Non conforme / Pas renseigné</w:t>
            </w:r>
          </w:p>
        </w:tc>
        <w:tc>
          <w:tcPr>
            <w:vAlign w:val="center"/>
          </w:tcPr>
          <w:p w:rsidR="00000000" w:rsidDel="00000000" w:rsidP="00000000" w:rsidRDefault="00000000" w:rsidRPr="00000000" w14:paraId="0000008C">
            <w:pPr>
              <w:spacing w:after="120" w:line="240" w:lineRule="auto"/>
              <w:ind w:left="0" w:hanging="2"/>
              <w:jc w:val="center"/>
              <w:rPr/>
            </w:pPr>
            <w:r w:rsidDel="00000000" w:rsidR="00000000" w:rsidRPr="00000000">
              <w:rPr>
                <w:rtl w:val="0"/>
              </w:rPr>
              <w:t xml:space="preserve">0</w:t>
            </w:r>
          </w:p>
        </w:tc>
      </w:tr>
    </w:tbl>
    <w:p w:rsidR="00000000" w:rsidDel="00000000" w:rsidP="00000000" w:rsidRDefault="00000000" w:rsidRPr="00000000" w14:paraId="0000008D">
      <w:pPr>
        <w:tabs>
          <w:tab w:val="left" w:leader="none" w:pos="1800"/>
        </w:tabs>
        <w:spacing w:after="120" w:line="240" w:lineRule="auto"/>
        <w:ind w:left="0" w:hanging="2"/>
        <w:jc w:val="both"/>
        <w:rPr/>
      </w:pPr>
      <w:r w:rsidDel="00000000" w:rsidR="00000000" w:rsidRPr="00000000">
        <w:rPr>
          <w:rtl w:val="0"/>
        </w:rPr>
      </w:r>
    </w:p>
    <w:p w:rsidR="00000000" w:rsidDel="00000000" w:rsidP="00000000" w:rsidRDefault="00000000" w:rsidRPr="00000000" w14:paraId="0000008E">
      <w:pPr>
        <w:tabs>
          <w:tab w:val="left" w:leader="none" w:pos="1800"/>
        </w:tabs>
        <w:spacing w:after="120" w:line="240" w:lineRule="auto"/>
        <w:ind w:left="0" w:hanging="2"/>
        <w:jc w:val="both"/>
        <w:rPr/>
      </w:pPr>
      <w:r w:rsidDel="00000000" w:rsidR="00000000" w:rsidRPr="00000000">
        <w:rPr>
          <w:rtl w:val="0"/>
        </w:rPr>
        <w:t xml:space="preserve">La pondération de 90 % est appliquée à ce critère. La note NTp est calculée comme suit : NTp=NT x 90%</w:t>
      </w:r>
    </w:p>
    <w:p w:rsidR="00000000" w:rsidDel="00000000" w:rsidP="00000000" w:rsidRDefault="00000000" w:rsidRPr="00000000" w14:paraId="0000008F">
      <w:pPr>
        <w:tabs>
          <w:tab w:val="left" w:leader="none" w:pos="1800"/>
        </w:tabs>
        <w:spacing w:after="120" w:line="240" w:lineRule="auto"/>
        <w:ind w:left="0" w:hanging="2"/>
        <w:jc w:val="both"/>
        <w:rPr/>
      </w:pPr>
      <w:r w:rsidDel="00000000" w:rsidR="00000000" w:rsidRPr="00000000">
        <w:rPr>
          <w:rtl w:val="0"/>
        </w:rPr>
      </w:r>
    </w:p>
    <w:p w:rsidR="00000000" w:rsidDel="00000000" w:rsidP="00000000" w:rsidRDefault="00000000" w:rsidRPr="00000000" w14:paraId="00000090">
      <w:pPr>
        <w:tabs>
          <w:tab w:val="left" w:leader="none" w:pos="1800"/>
        </w:tabs>
        <w:spacing w:after="120" w:line="240" w:lineRule="auto"/>
        <w:ind w:left="0" w:hanging="2"/>
        <w:jc w:val="both"/>
        <w:rPr/>
      </w:pPr>
      <w:r w:rsidDel="00000000" w:rsidR="00000000" w:rsidRPr="00000000">
        <w:rPr>
          <w:b w:val="1"/>
          <w:bCs w:val="1"/>
          <w:rtl w:val="0"/>
        </w:rPr>
        <w:t xml:space="preserve">Le prix de l’offre</w:t>
      </w:r>
      <w:r w:rsidDel="00000000" w:rsidR="00000000" w:rsidRPr="00000000">
        <w:rPr>
          <w:rtl w:val="0"/>
        </w:rPr>
        <w:t xml:space="preserve"> sera noté (NP) au regard de la décomposition détaillé et du montant total figurant dans les offres des candidats, selon la formule suivante :</w:t>
      </w:r>
    </w:p>
    <w:p w:rsidR="00000000" w:rsidDel="00000000" w:rsidP="00000000" w:rsidRDefault="00000000" w:rsidRPr="00000000" w14:paraId="00000091">
      <w:pPr>
        <w:spacing w:after="120" w:line="240" w:lineRule="auto"/>
        <w:ind w:left="0" w:hanging="2"/>
        <w:jc w:val="both"/>
        <w:rPr>
          <w:vertAlign w:val="subscript"/>
        </w:rPr>
      </w:pPr>
      <w:r w:rsidDel="00000000" w:rsidR="00000000" w:rsidRPr="00000000">
        <w:rPr>
          <w:color w:val="ff0000"/>
          <w:vertAlign w:val="subscript"/>
        </w:rPr>
        <w:drawing>
          <wp:inline distB="0" distT="0" distL="114300" distR="114300">
            <wp:extent cx="1686560" cy="421640"/>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686560" cy="421640"/>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tabs>
          <w:tab w:val="left" w:leader="none" w:pos="1800"/>
        </w:tabs>
        <w:spacing w:after="120" w:line="240" w:lineRule="auto"/>
        <w:ind w:left="0" w:hanging="2"/>
        <w:jc w:val="both"/>
        <w:rPr/>
      </w:pPr>
      <w:r w:rsidDel="00000000" w:rsidR="00000000" w:rsidRPr="00000000">
        <w:rPr>
          <w:rtl w:val="0"/>
        </w:rPr>
        <w:t xml:space="preserve">La note NP est inversement proportionnelle au prix proposé par le candidat ; le meilleur prix, prix le plus bas, se verra attribué la note la plus élevée.</w:t>
      </w:r>
    </w:p>
    <w:p w:rsidR="00000000" w:rsidDel="00000000" w:rsidP="00000000" w:rsidRDefault="00000000" w:rsidRPr="00000000" w14:paraId="00000093">
      <w:pPr>
        <w:tabs>
          <w:tab w:val="left" w:leader="none" w:pos="1800"/>
        </w:tabs>
        <w:spacing w:after="120" w:line="240" w:lineRule="auto"/>
        <w:ind w:left="0" w:hanging="2"/>
        <w:jc w:val="both"/>
        <w:rPr/>
      </w:pPr>
      <w:r w:rsidDel="00000000" w:rsidR="00000000" w:rsidRPr="00000000">
        <w:rPr>
          <w:rtl w:val="0"/>
        </w:rPr>
        <w:t xml:space="preserve">La pondération de 10 % est appliquée à ce critère. La note NPp est calculée comme suit : NPp = NP x 10%.</w:t>
      </w:r>
    </w:p>
    <w:p w:rsidR="00000000" w:rsidDel="00000000" w:rsidP="00000000" w:rsidRDefault="00000000" w:rsidRPr="00000000" w14:paraId="00000094">
      <w:pPr>
        <w:tabs>
          <w:tab w:val="center" w:leader="none" w:pos="7602"/>
        </w:tabs>
        <w:spacing w:after="120" w:line="240" w:lineRule="auto"/>
        <w:ind w:left="0" w:hanging="2"/>
        <w:jc w:val="both"/>
        <w:rPr/>
      </w:pPr>
      <w:r w:rsidDel="00000000" w:rsidR="00000000" w:rsidRPr="00000000">
        <w:rPr>
          <w:rtl w:val="0"/>
        </w:rPr>
      </w:r>
    </w:p>
    <w:p w:rsidR="00000000" w:rsidDel="00000000" w:rsidP="00000000" w:rsidRDefault="00000000" w:rsidRPr="00000000" w14:paraId="00000095">
      <w:pPr>
        <w:tabs>
          <w:tab w:val="left" w:leader="none" w:pos="1260"/>
        </w:tabs>
        <w:spacing w:after="120" w:line="240" w:lineRule="auto"/>
        <w:ind w:left="0" w:hanging="2"/>
        <w:jc w:val="both"/>
        <w:rPr>
          <w:b w:val="1"/>
          <w:bCs w:val="1"/>
        </w:rPr>
      </w:pPr>
      <w:r w:rsidDel="00000000" w:rsidR="00000000" w:rsidRPr="00000000">
        <w:rPr>
          <w:rtl w:val="0"/>
        </w:rPr>
        <w:t xml:space="preserve">La note globale N du candidat est égale à la somme des notes pondérées obtenues pour chaque critère : </w:t>
      </w:r>
      <w:r w:rsidDel="00000000" w:rsidR="00000000" w:rsidRPr="00000000">
        <w:rPr>
          <w:b w:val="1"/>
          <w:bCs w:val="1"/>
          <w:rtl w:val="0"/>
        </w:rPr>
        <w:t xml:space="preserve">N = NTp + </w:t>
      </w:r>
      <w:r w:rsidDel="00000000" w:rsidR="00000000" w:rsidRPr="00000000">
        <w:rPr>
          <w:b w:val="1"/>
          <w:bCs w:val="1"/>
          <w:smallCaps w:val="1"/>
          <w:rtl w:val="0"/>
        </w:rPr>
        <w:t xml:space="preserve">NP</w:t>
      </w:r>
      <w:r w:rsidDel="00000000" w:rsidR="00000000" w:rsidRPr="00000000">
        <w:rPr>
          <w:b w:val="1"/>
          <w:bCs w:val="1"/>
          <w:rtl w:val="0"/>
        </w:rPr>
        <w:t xml:space="preserve">p, les notes sont données sur 20.</w:t>
      </w:r>
    </w:p>
    <w:p w:rsidR="00000000" w:rsidDel="00000000" w:rsidP="00000000" w:rsidRDefault="00000000" w:rsidRPr="00000000" w14:paraId="00000096">
      <w:pPr>
        <w:spacing w:after="120" w:line="259" w:lineRule="auto"/>
        <w:ind w:left="0" w:hanging="2"/>
        <w:rPr>
          <w:sz w:val="24"/>
          <w:szCs w:val="24"/>
        </w:rPr>
      </w:pPr>
      <w:bookmarkStart w:colFirst="0" w:colLast="0" w:name="_heading=h.ldkvst1158ah" w:id="8"/>
      <w:bookmarkEnd w:id="8"/>
      <w:r w:rsidDel="00000000" w:rsidR="00000000" w:rsidRPr="00000000">
        <w:rPr>
          <w:sz w:val="24"/>
          <w:szCs w:val="24"/>
          <w:rtl w:val="0"/>
        </w:rPr>
        <w:t xml:space="preserve">Les résultats de cet appel à concurrence seront communiqués par mail au plus tard le</w:t>
      </w:r>
      <w:r w:rsidDel="00000000" w:rsidR="00000000" w:rsidRPr="00000000">
        <w:rPr>
          <w:b w:val="1"/>
          <w:bCs w:val="1"/>
          <w:sz w:val="24"/>
          <w:szCs w:val="24"/>
          <w:rtl w:val="0"/>
        </w:rPr>
        <w:t xml:space="preserve"> 30  juillet 2026. </w:t>
      </w:r>
      <w:r w:rsidDel="00000000" w:rsidR="00000000" w:rsidRPr="00000000">
        <w:rPr>
          <w:sz w:val="24"/>
          <w:szCs w:val="24"/>
          <w:rtl w:val="0"/>
        </w:rPr>
        <w:t xml:space="preserve">Un contrat sera signé entre CDE Petra Patrimonia et le prestataire retenu.</w:t>
      </w:r>
    </w:p>
    <w:p w:rsidR="00000000" w:rsidDel="00000000" w:rsidP="00000000" w:rsidRDefault="00000000" w:rsidRPr="00000000" w14:paraId="00000097">
      <w:pPr>
        <w:tabs>
          <w:tab w:val="left" w:leader="none" w:pos="1260"/>
        </w:tabs>
        <w:spacing w:after="120" w:line="240" w:lineRule="auto"/>
        <w:ind w:left="0" w:hanging="2"/>
        <w:rPr/>
      </w:pPr>
      <w:r w:rsidDel="00000000" w:rsidR="00000000" w:rsidRPr="00000000">
        <w:rPr>
          <w:rtl w:val="0"/>
        </w:rPr>
      </w:r>
    </w:p>
    <w:p w:rsidR="00000000" w:rsidDel="00000000" w:rsidP="00000000" w:rsidRDefault="00000000" w:rsidRPr="00000000" w14:paraId="00000098">
      <w:pPr>
        <w:tabs>
          <w:tab w:val="left" w:leader="none" w:pos="1260"/>
        </w:tabs>
        <w:spacing w:after="120" w:line="240" w:lineRule="auto"/>
        <w:ind w:left="0" w:hanging="2"/>
        <w:rPr/>
      </w:pPr>
      <w:r w:rsidDel="00000000" w:rsidR="00000000" w:rsidRPr="00000000">
        <w:rPr>
          <w:b w:val="1"/>
          <w:bCs w:val="1"/>
          <w:rtl w:val="0"/>
        </w:rPr>
        <w:t xml:space="preserve">5.2 Notification - Facturation</w:t>
      </w:r>
      <w:r w:rsidDel="00000000" w:rsidR="00000000" w:rsidRPr="00000000">
        <w:rPr>
          <w:rtl w:val="0"/>
        </w:rPr>
      </w:r>
    </w:p>
    <w:p w:rsidR="00000000" w:rsidDel="00000000" w:rsidP="00000000" w:rsidRDefault="00000000" w:rsidRPr="00000000" w14:paraId="00000099">
      <w:pPr>
        <w:tabs>
          <w:tab w:val="left" w:leader="none" w:pos="1260"/>
        </w:tabs>
        <w:spacing w:after="120" w:line="240" w:lineRule="auto"/>
        <w:ind w:left="0" w:hanging="2"/>
        <w:rPr/>
      </w:pPr>
      <w:r w:rsidDel="00000000" w:rsidR="00000000" w:rsidRPr="00000000">
        <w:rPr>
          <w:rtl w:val="0"/>
        </w:rPr>
      </w:r>
    </w:p>
    <w:p w:rsidR="00000000" w:rsidDel="00000000" w:rsidP="00000000" w:rsidRDefault="00000000" w:rsidRPr="00000000" w14:paraId="0000009A">
      <w:pPr>
        <w:tabs>
          <w:tab w:val="left" w:leader="none" w:pos="1260"/>
        </w:tabs>
        <w:spacing w:after="120" w:line="240" w:lineRule="auto"/>
        <w:ind w:left="0" w:hanging="2"/>
        <w:rPr>
          <w:color w:val="000000"/>
        </w:rPr>
      </w:pPr>
      <w:r w:rsidDel="00000000" w:rsidR="00000000" w:rsidRPr="00000000">
        <w:rPr>
          <w:rtl w:val="0"/>
        </w:rPr>
        <w:t xml:space="preserve">Les offres seront classées. L’offre du candidat ayant la note globale N la plus élevée sera considérée comme </w:t>
      </w:r>
      <w:r w:rsidDel="00000000" w:rsidR="00000000" w:rsidRPr="00000000">
        <w:rPr>
          <w:color w:val="000000"/>
          <w:rtl w:val="0"/>
        </w:rPr>
        <w:t xml:space="preserve">l'offre économiquement la plus avantageuse.</w:t>
      </w:r>
    </w:p>
    <w:p w:rsidR="00000000" w:rsidDel="00000000" w:rsidP="00000000" w:rsidRDefault="00000000" w:rsidRPr="00000000" w14:paraId="0000009B">
      <w:pPr>
        <w:widowControl w:val="0"/>
        <w:spacing w:after="120" w:line="240" w:lineRule="auto"/>
        <w:ind w:left="0" w:hanging="2"/>
        <w:jc w:val="both"/>
        <w:rPr>
          <w:color w:val="000000"/>
        </w:rPr>
      </w:pPr>
      <w:r w:rsidDel="00000000" w:rsidR="00000000" w:rsidRPr="00000000">
        <w:rPr>
          <w:rtl w:val="0"/>
        </w:rPr>
      </w:r>
    </w:p>
    <w:p w:rsidR="00000000" w:rsidDel="00000000" w:rsidP="00000000" w:rsidRDefault="00000000" w:rsidRPr="00000000" w14:paraId="0000009C">
      <w:pPr>
        <w:widowControl w:val="0"/>
        <w:spacing w:after="120" w:line="240" w:lineRule="auto"/>
        <w:ind w:left="0" w:hanging="2"/>
        <w:jc w:val="both"/>
        <w:rPr/>
      </w:pPr>
      <w:r w:rsidDel="00000000" w:rsidR="00000000" w:rsidRPr="00000000">
        <w:rPr>
          <w:rtl w:val="0"/>
        </w:rPr>
        <w:t xml:space="preserve">Les résultats du présent appel à concurrence seront communiqués par email, le 30/07/2026 au plus tard. </w:t>
      </w:r>
    </w:p>
    <w:p w:rsidR="00000000" w:rsidDel="00000000" w:rsidP="00000000" w:rsidRDefault="00000000" w:rsidRPr="00000000" w14:paraId="0000009D">
      <w:pPr>
        <w:widowControl w:val="0"/>
        <w:spacing w:after="120" w:line="240" w:lineRule="auto"/>
        <w:ind w:left="0" w:hanging="2"/>
        <w:jc w:val="both"/>
        <w:rPr/>
      </w:pPr>
      <w:r w:rsidDel="00000000" w:rsidR="00000000" w:rsidRPr="00000000">
        <w:rPr>
          <w:rtl w:val="0"/>
        </w:rPr>
        <w:t xml:space="preserve">L’échéancier de facturation prévisionnel sera mis en place comme suit :</w:t>
      </w:r>
    </w:p>
    <w:p w:rsidR="00000000" w:rsidDel="00000000" w:rsidP="00000000" w:rsidRDefault="00000000" w:rsidRPr="00000000" w14:paraId="0000009E">
      <w:pPr>
        <w:widowControl w:val="0"/>
        <w:spacing w:after="120" w:line="240" w:lineRule="auto"/>
        <w:ind w:left="0" w:hanging="2"/>
        <w:jc w:val="both"/>
        <w:rPr/>
      </w:pPr>
      <w:r w:rsidDel="00000000" w:rsidR="00000000" w:rsidRPr="00000000">
        <w:rPr>
          <w:rtl w:val="0"/>
        </w:rPr>
        <w:t xml:space="preserve">- Acompte de 40% à notification de la mission et signature du bon pour accord, sur remise d’une facture</w:t>
      </w:r>
    </w:p>
    <w:p w:rsidR="00000000" w:rsidDel="00000000" w:rsidP="00000000" w:rsidRDefault="00000000" w:rsidRPr="00000000" w14:paraId="0000009F">
      <w:pPr>
        <w:widowControl w:val="0"/>
        <w:spacing w:after="120" w:line="240" w:lineRule="auto"/>
        <w:ind w:left="0" w:hanging="2"/>
        <w:jc w:val="both"/>
        <w:rPr/>
      </w:pPr>
      <w:r w:rsidDel="00000000" w:rsidR="00000000" w:rsidRPr="00000000">
        <w:rPr>
          <w:rtl w:val="0"/>
        </w:rPr>
        <w:t xml:space="preserve">- Acompte de 40% à la clôture des 6 premier mois de la mission, au 31/01/2027</w:t>
      </w:r>
    </w:p>
    <w:p w:rsidR="00000000" w:rsidDel="00000000" w:rsidP="00000000" w:rsidRDefault="00000000" w:rsidRPr="00000000" w14:paraId="000000A0">
      <w:pPr>
        <w:widowControl w:val="0"/>
        <w:spacing w:after="120" w:line="240" w:lineRule="auto"/>
        <w:ind w:left="0" w:hanging="2"/>
        <w:jc w:val="both"/>
        <w:rPr/>
      </w:pPr>
      <w:r w:rsidDel="00000000" w:rsidR="00000000" w:rsidRPr="00000000">
        <w:rPr>
          <w:rtl w:val="0"/>
        </w:rPr>
        <w:t xml:space="preserve">- Le solde à la clôture des activités du projet au 31/12/2027</w:t>
      </w:r>
    </w:p>
    <w:p w:rsidR="00000000" w:rsidDel="00000000" w:rsidP="00000000" w:rsidRDefault="00000000" w:rsidRPr="00000000" w14:paraId="000000A1">
      <w:pPr>
        <w:widowControl w:val="0"/>
        <w:spacing w:after="120" w:line="240" w:lineRule="auto"/>
        <w:ind w:left="0" w:hanging="2"/>
        <w:jc w:val="both"/>
        <w:rPr>
          <w:color w:val="ff0000"/>
        </w:rPr>
      </w:pPr>
      <w:r w:rsidDel="00000000" w:rsidR="00000000" w:rsidRPr="00000000">
        <w:rPr>
          <w:rtl w:val="0"/>
        </w:rPr>
      </w:r>
    </w:p>
    <w:p w:rsidR="00000000" w:rsidDel="00000000" w:rsidP="00000000" w:rsidRDefault="00000000" w:rsidRPr="00000000" w14:paraId="000000A2">
      <w:pPr>
        <w:widowControl w:val="0"/>
        <w:spacing w:after="120" w:line="240" w:lineRule="auto"/>
        <w:ind w:left="0" w:hanging="2"/>
        <w:jc w:val="both"/>
        <w:rPr/>
      </w:pPr>
      <w:r w:rsidDel="00000000" w:rsidR="00000000" w:rsidRPr="00000000">
        <w:rPr>
          <w:rtl w:val="0"/>
        </w:rPr>
        <w:t xml:space="preserve">Chaque facture devra être accompagnée par un bilan d’exercice de la mission pour la période concernée.  </w:t>
      </w:r>
    </w:p>
    <w:p w:rsidR="00000000" w:rsidDel="00000000" w:rsidP="00000000" w:rsidRDefault="00000000" w:rsidRPr="00000000" w14:paraId="000000A3">
      <w:pPr>
        <w:widowControl w:val="0"/>
        <w:spacing w:after="120" w:line="240" w:lineRule="auto"/>
        <w:ind w:left="0" w:hanging="2"/>
        <w:jc w:val="both"/>
        <w:rPr>
          <w:color w:val="000000"/>
        </w:rPr>
      </w:pPr>
      <w:r w:rsidDel="00000000" w:rsidR="00000000" w:rsidRPr="00000000">
        <w:rPr>
          <w:rtl w:val="0"/>
        </w:rPr>
      </w:r>
    </w:p>
    <w:sectPr>
      <w:headerReference r:id="rId13" w:type="default"/>
      <w:footerReference r:id="rId14" w:type="default"/>
      <w:pgSz w:h="16838" w:w="11906" w:orient="portrait"/>
      <w:pgMar w:bottom="1276" w:top="1616"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pBdr>
        <w:top w:color="000000" w:space="1" w:sz="4" w:val="single"/>
        <w:left w:space="0" w:sz="0" w:val="nil"/>
        <w:bottom w:space="0" w:sz="0" w:val="nil"/>
        <w:right w:space="0" w:sz="0" w:val="nil"/>
        <w:between w:space="0" w:sz="0" w:val="nil"/>
      </w:pBdr>
      <w:spacing w:after="0" w:line="240" w:lineRule="auto"/>
      <w:ind w:left="0" w:right="-142" w:hanging="2"/>
      <w:jc w:val="center"/>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ind w:left="0" w:hanging="2"/>
      <w:jc w:val="right"/>
      <w:rPr>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782320</wp:posOffset>
          </wp:positionH>
          <wp:positionV relativeFrom="paragraph">
            <wp:posOffset>-70483</wp:posOffset>
          </wp:positionV>
          <wp:extent cx="875030" cy="318135"/>
          <wp:effectExtent b="0" l="0" r="0" t="0"/>
          <wp:wrapSquare wrapText="bothSides" distB="0" distT="0" distL="114300" distR="114300"/>
          <wp:docPr id="2"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75030" cy="3181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-600708</wp:posOffset>
          </wp:positionH>
          <wp:positionV relativeFrom="paragraph">
            <wp:posOffset>-85088</wp:posOffset>
          </wp:positionV>
          <wp:extent cx="1378585" cy="47752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378585" cy="477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4938395</wp:posOffset>
          </wp:positionH>
          <wp:positionV relativeFrom="paragraph">
            <wp:posOffset>-310513</wp:posOffset>
          </wp:positionV>
          <wp:extent cx="1430655" cy="80327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430655" cy="803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lvl w:ilvl="0">
      <w:start w:val="2"/>
      <w:numFmt w:val="bullet"/>
      <w:lvlText w:val="-"/>
      <w:lvlJc w:val="left"/>
      <w:pPr>
        <w:ind w:left="720" w:hanging="360"/>
      </w:pPr>
      <w:rPr>
        <w:rFonts w:ascii="Times New Roman" w:cs="Times New Roman" w:eastAsia="Times New Roman" w:hAnsi="Times New Roman"/>
        <w:vertAlign w:val="baseline"/>
      </w:rPr>
    </w:lvl>
    <w:lvl w:ilvl="1">
      <w:start w:val="0"/>
      <w:numFmt w:val="bullet"/>
      <w:lvlText w:val="-"/>
      <w:lvlJc w:val="left"/>
      <w:pPr>
        <w:ind w:left="1440" w:hanging="360"/>
      </w:pPr>
      <w:rPr>
        <w:rFonts w:ascii="Arial" w:cs="Arial" w:eastAsia="Arial" w:hAnsi="Arial"/>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guary.matthieu@cde-petrapatrimonia.eu" TargetMode="External"/><Relationship Id="rId10" Type="http://schemas.openxmlformats.org/officeDocument/2006/relationships/hyperlink" Target="mailto:bellia.remi@cde-petrapatrimonia.eu"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conomie.gouv.fr/daj/formulair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ellia.remi@cde-petrapatrimonia.eu" TargetMode="External"/><Relationship Id="rId8" Type="http://schemas.openxmlformats.org/officeDocument/2006/relationships/hyperlink" Target="mailto:guary.matthieu@cde-petrapatrimonia.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png"/><Relationship Id="rId3"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BRQQu2J41VZGUe+apeRWvAxNHQ==">CgMxLjAyDmgud25jeXp1bm8wbXdsMg5oLnZtdDg5ZWE1bGxrYTIOaC53d29la2Jzbmk0djAyDWguOHBmdGJoNWR4a3cyDmguNXZtNjhoeHo3b3Y1Mg5oLmRvZms0NDU5eW1wNDIOaC5sNWp4Yndpd3B3anQyDmgudGU5MW1sYnVwNHl1Mg5oLmxka3ZzdDExNThhaDgAciExRVVuWF9Kel9KOEtqNlZQV01vUHd2RFVDNW9wcm1oSEk=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